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91" w:rsidRPr="00826E91" w:rsidRDefault="00826E91" w:rsidP="00826E91">
      <w:pPr>
        <w:spacing w:after="0" w:line="240" w:lineRule="auto"/>
        <w:jc w:val="center"/>
        <w:rPr>
          <w:rFonts w:hint="eastAsia"/>
          <w:b/>
          <w:sz w:val="48"/>
          <w:szCs w:val="48"/>
        </w:rPr>
      </w:pPr>
      <w:r w:rsidRPr="00826E91">
        <w:rPr>
          <w:b/>
          <w:sz w:val="48"/>
          <w:szCs w:val="48"/>
        </w:rPr>
        <w:t>Neuer Modus: Bevorzugte Lösung / Antwort</w:t>
      </w:r>
    </w:p>
    <w:p w:rsidR="00826E91" w:rsidRDefault="00826E91">
      <w:pPr>
        <w:rPr>
          <w:rFonts w:hint="eastAsia"/>
          <w:noProof/>
        </w:rPr>
      </w:pPr>
    </w:p>
    <w:p w:rsidR="00F611CB" w:rsidRDefault="00F611C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-33020</wp:posOffset>
            </wp:positionV>
            <wp:extent cx="2048510" cy="3181350"/>
            <wp:effectExtent l="19050" t="0" r="8890" b="0"/>
            <wp:wrapTight wrapText="bothSides">
              <wp:wrapPolygon edited="0">
                <wp:start x="-201" y="0"/>
                <wp:lineTo x="-201" y="21471"/>
                <wp:lineTo x="21694" y="21471"/>
                <wp:lineTo x="21694" y="0"/>
                <wp:lineTo x="-201" y="0"/>
              </wp:wrapPolygon>
            </wp:wrapTight>
            <wp:docPr id="1" name="Grafik 0" descr="ss (2013-08-10 at 03.28.5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 (2013-08-10 at 03.28.51)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851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1CB" w:rsidRDefault="00F611CB">
      <w:pPr>
        <w:rPr>
          <w:noProof/>
        </w:rPr>
      </w:pPr>
    </w:p>
    <w:p w:rsidR="00F611CB" w:rsidRDefault="00F611CB"/>
    <w:p w:rsidR="00F611CB" w:rsidRDefault="00F611CB"/>
    <w:p w:rsidR="00BA1F85" w:rsidRDefault="00826E91"/>
    <w:p w:rsidR="00F611CB" w:rsidRDefault="00F611CB"/>
    <w:p w:rsidR="00F611CB" w:rsidRDefault="00F611CB">
      <w:r>
        <w:t xml:space="preserve">&lt;- Ein wenig unklar: vlt. Umbenennen in Eingabealphabet und das Fragezeichen </w:t>
      </w:r>
      <w:r w:rsidR="00F565DD">
        <w:t>könnte</w:t>
      </w:r>
      <w:r>
        <w:t xml:space="preserve"> dann  etwas wie „bevorzugtes Alphabet zur Eingabe der </w:t>
      </w:r>
      <w:r w:rsidR="00F565DD">
        <w:t>Lösung</w:t>
      </w:r>
      <w:r>
        <w:t xml:space="preserve">. Zur Auswahl stehen </w:t>
      </w:r>
      <w:r w:rsidR="00826E91">
        <w:rPr>
          <w:rFonts w:hint="eastAsia"/>
        </w:rPr>
        <w:t>Hiragana/Katakana</w:t>
      </w:r>
      <w:r>
        <w:t>, Romaji und Kanji“</w:t>
      </w:r>
      <w:r w:rsidR="00F565DD">
        <w:rPr>
          <w:rFonts w:hint="eastAsia"/>
        </w:rPr>
        <w:t xml:space="preserve"> sagen</w:t>
      </w:r>
    </w:p>
    <w:p w:rsidR="00F611CB" w:rsidRDefault="00F611CB" w:rsidP="006304B2">
      <w:pPr>
        <w:spacing w:after="0" w:line="240" w:lineRule="auto"/>
        <w:rPr>
          <w:rFonts w:hint="eastAsia"/>
        </w:rPr>
      </w:pPr>
    </w:p>
    <w:p w:rsidR="00826E91" w:rsidRDefault="00826E91" w:rsidP="006304B2">
      <w:pPr>
        <w:spacing w:after="0" w:line="240" w:lineRule="auto"/>
        <w:rPr>
          <w:rFonts w:hint="eastAsia"/>
        </w:rPr>
      </w:pPr>
    </w:p>
    <w:p w:rsidR="00411559" w:rsidRDefault="00411559" w:rsidP="006304B2">
      <w:pPr>
        <w:spacing w:after="0" w:line="240" w:lineRule="auto"/>
        <w:rPr>
          <w:rFonts w:hint="eastAsia"/>
        </w:rPr>
      </w:pPr>
    </w:p>
    <w:p w:rsidR="00826E91" w:rsidRPr="00826E91" w:rsidRDefault="00826E91" w:rsidP="00826E91">
      <w:pPr>
        <w:spacing w:after="0" w:line="240" w:lineRule="auto"/>
        <w:rPr>
          <w:b/>
          <w:sz w:val="32"/>
          <w:szCs w:val="32"/>
        </w:rPr>
      </w:pPr>
      <w:r w:rsidRPr="00826E91">
        <w:rPr>
          <w:b/>
          <w:sz w:val="32"/>
          <w:szCs w:val="32"/>
        </w:rPr>
        <w:t>Einfügen</w:t>
      </w:r>
      <w:r w:rsidRPr="00826E91">
        <w:rPr>
          <w:rFonts w:hint="eastAsia"/>
          <w:b/>
          <w:sz w:val="32"/>
          <w:szCs w:val="32"/>
        </w:rPr>
        <w:t xml:space="preserve"> eines Drop-Down-</w:t>
      </w:r>
      <w:r w:rsidRPr="00826E91">
        <w:rPr>
          <w:b/>
          <w:sz w:val="32"/>
          <w:szCs w:val="32"/>
        </w:rPr>
        <w:t>Menüs</w:t>
      </w:r>
      <w:r w:rsidRPr="00826E91">
        <w:rPr>
          <w:rFonts w:hint="eastAsia"/>
          <w:b/>
          <w:sz w:val="32"/>
          <w:szCs w:val="32"/>
        </w:rPr>
        <w:t>:</w:t>
      </w:r>
    </w:p>
    <w:p w:rsidR="00F611CB" w:rsidRDefault="00826E91" w:rsidP="006304B2">
      <w:pPr>
        <w:spacing w:after="0" w:line="240" w:lineRule="auto"/>
        <w:rPr>
          <w:rFonts w:hint="eastAsia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-3810</wp:posOffset>
            </wp:positionV>
            <wp:extent cx="2048510" cy="1285875"/>
            <wp:effectExtent l="19050" t="0" r="8890" b="0"/>
            <wp:wrapTight wrapText="bothSides">
              <wp:wrapPolygon edited="0">
                <wp:start x="-201" y="0"/>
                <wp:lineTo x="-201" y="21440"/>
                <wp:lineTo x="21694" y="21440"/>
                <wp:lineTo x="21694" y="0"/>
                <wp:lineTo x="-201" y="0"/>
              </wp:wrapPolygon>
            </wp:wrapTight>
            <wp:docPr id="8" name="Grafik 7" descr="ss (2013-08-10 at 04.30.1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 (2013-08-10 at 04.30.16)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851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&lt;- Fragezeichen </w:t>
      </w:r>
      <w:r>
        <w:t>könnte</w:t>
      </w:r>
      <w:r>
        <w:rPr>
          <w:rFonts w:hint="eastAsia"/>
        </w:rPr>
        <w:t xml:space="preserve"> hier etwas wie </w:t>
      </w:r>
      <w:r>
        <w:t>„Wähle</w:t>
      </w:r>
      <w:r>
        <w:rPr>
          <w:rFonts w:hint="eastAsia"/>
        </w:rPr>
        <w:t xml:space="preserve"> aus, in welchem Alphabet die Antwort angezeigt werden soll.</w:t>
      </w:r>
      <w:r>
        <w:t>“</w:t>
      </w:r>
      <w:r>
        <w:rPr>
          <w:rFonts w:hint="eastAsia"/>
        </w:rPr>
        <w:t xml:space="preserve"> </w:t>
      </w:r>
      <w:r>
        <w:t>S</w:t>
      </w:r>
      <w:r>
        <w:rPr>
          <w:rFonts w:hint="eastAsia"/>
        </w:rPr>
        <w:t>agen.</w:t>
      </w:r>
    </w:p>
    <w:p w:rsidR="00826E91" w:rsidRDefault="00826E91" w:rsidP="006304B2">
      <w:pPr>
        <w:spacing w:after="0" w:line="240" w:lineRule="auto"/>
        <w:rPr>
          <w:rFonts w:hint="eastAsia"/>
        </w:rPr>
      </w:pPr>
    </w:p>
    <w:p w:rsidR="00826E91" w:rsidRDefault="00826E91" w:rsidP="006304B2">
      <w:pPr>
        <w:spacing w:after="0" w:line="240" w:lineRule="auto"/>
        <w:rPr>
          <w:rFonts w:hint="eastAsia"/>
        </w:rPr>
      </w:pPr>
    </w:p>
    <w:p w:rsidR="00826E91" w:rsidRDefault="00826E91" w:rsidP="006304B2">
      <w:pPr>
        <w:spacing w:after="0" w:line="240" w:lineRule="auto"/>
        <w:rPr>
          <w:rFonts w:hint="eastAsia"/>
        </w:rPr>
      </w:pPr>
    </w:p>
    <w:p w:rsidR="00826E91" w:rsidRDefault="00826E91" w:rsidP="006304B2">
      <w:pPr>
        <w:spacing w:after="0" w:line="240" w:lineRule="auto"/>
        <w:rPr>
          <w:rFonts w:hint="eastAsia"/>
        </w:rPr>
      </w:pPr>
    </w:p>
    <w:p w:rsidR="00826E91" w:rsidRDefault="00826E91" w:rsidP="006304B2">
      <w:pPr>
        <w:spacing w:after="0" w:line="240" w:lineRule="auto"/>
        <w:rPr>
          <w:rFonts w:hint="eastAsia"/>
        </w:rPr>
      </w:pPr>
    </w:p>
    <w:p w:rsidR="00826E91" w:rsidRDefault="00826E91" w:rsidP="006304B2">
      <w:pPr>
        <w:spacing w:after="0" w:line="240" w:lineRule="auto"/>
      </w:pPr>
    </w:p>
    <w:p w:rsidR="006304B2" w:rsidRDefault="006304B2" w:rsidP="006304B2">
      <w:pPr>
        <w:spacing w:after="0" w:line="240" w:lineRule="auto"/>
        <w:rPr>
          <w:rFonts w:hint="eastAsia"/>
        </w:rPr>
      </w:pPr>
      <w:r>
        <w:t>Alles  - Standardopt</w:t>
      </w:r>
      <w:r w:rsidR="003C1555">
        <w:t xml:space="preserve">ion, </w:t>
      </w:r>
      <w:r w:rsidR="00F565DD">
        <w:t>Lösung</w:t>
      </w:r>
      <w:r w:rsidR="003C1555">
        <w:t xml:space="preserve"> erfolgt wie bisher</w:t>
      </w:r>
      <w:r w:rsidR="003C1555">
        <w:rPr>
          <w:rFonts w:hint="eastAsia"/>
        </w:rPr>
        <w:t>:</w:t>
      </w:r>
    </w:p>
    <w:p w:rsidR="003C1555" w:rsidRDefault="003C1555" w:rsidP="006304B2">
      <w:pPr>
        <w:spacing w:after="0" w:line="240" w:lineRule="auto"/>
        <w:rPr>
          <w:rFonts w:hint="eastAsia"/>
        </w:rPr>
      </w:pPr>
    </w:p>
    <w:p w:rsidR="003C1555" w:rsidRDefault="003C1555" w:rsidP="006304B2">
      <w:pPr>
        <w:spacing w:after="0" w:line="240" w:lineRule="auto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991225" cy="265518"/>
            <wp:effectExtent l="19050" t="0" r="9525" b="0"/>
            <wp:docPr id="4" name="Grafik 3" descr="ss (2013-08-10 at 04.19.5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 (2013-08-10 at 04.19.53)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9244" cy="26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555" w:rsidRDefault="003C1555" w:rsidP="006304B2">
      <w:pPr>
        <w:spacing w:after="0" w:line="240" w:lineRule="auto"/>
      </w:pPr>
    </w:p>
    <w:p w:rsidR="006304B2" w:rsidRDefault="006304B2" w:rsidP="006304B2">
      <w:pPr>
        <w:spacing w:after="0" w:line="240" w:lineRule="auto"/>
        <w:rPr>
          <w:rFonts w:hint="eastAsia"/>
        </w:rPr>
      </w:pPr>
      <w:r>
        <w:t xml:space="preserve">Furigana – </w:t>
      </w:r>
      <w:r w:rsidR="00F565DD">
        <w:t>Lösung</w:t>
      </w:r>
      <w:r>
        <w:t xml:space="preserve"> erfolgt</w:t>
      </w:r>
      <w:r w:rsidR="00F565DD">
        <w:rPr>
          <w:rFonts w:hint="eastAsia"/>
        </w:rPr>
        <w:t xml:space="preserve"> </w:t>
      </w:r>
      <w:r w:rsidR="00F565DD">
        <w:t>ungefähr</w:t>
      </w:r>
      <w:r w:rsidR="00F565DD">
        <w:rPr>
          <w:rFonts w:hint="eastAsia"/>
        </w:rPr>
        <w:t xml:space="preserve"> so</w:t>
      </w:r>
      <w:r>
        <w:t>:</w:t>
      </w:r>
    </w:p>
    <w:p w:rsidR="003C1555" w:rsidRDefault="003C1555" w:rsidP="006304B2">
      <w:pPr>
        <w:spacing w:after="0" w:line="240" w:lineRule="auto"/>
      </w:pPr>
    </w:p>
    <w:tbl>
      <w:tblPr>
        <w:tblStyle w:val="Tabellengitternetz"/>
        <w:tblW w:w="950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48"/>
        <w:gridCol w:w="9180"/>
        <w:gridCol w:w="40"/>
      </w:tblGrid>
      <w:tr w:rsidR="00411559" w:rsidTr="00411559">
        <w:trPr>
          <w:gridAfter w:val="1"/>
          <w:wAfter w:w="40" w:type="dxa"/>
          <w:trHeight w:val="298"/>
        </w:trPr>
        <w:tc>
          <w:tcPr>
            <w:tcW w:w="284" w:type="dxa"/>
            <w:gridSpan w:val="2"/>
          </w:tcPr>
          <w:p w:rsidR="00411559" w:rsidRPr="006304B2" w:rsidRDefault="00411559" w:rsidP="006304B2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9180" w:type="dxa"/>
          </w:tcPr>
          <w:p w:rsidR="00411559" w:rsidRPr="006304B2" w:rsidRDefault="00411559" w:rsidP="00411559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う</w:t>
            </w:r>
          </w:p>
        </w:tc>
      </w:tr>
      <w:tr w:rsidR="00411559" w:rsidTr="00411559">
        <w:trPr>
          <w:trHeight w:val="465"/>
        </w:trPr>
        <w:tc>
          <w:tcPr>
            <w:tcW w:w="236" w:type="dxa"/>
          </w:tcPr>
          <w:p w:rsidR="00411559" w:rsidRPr="006304B2" w:rsidRDefault="00411559" w:rsidP="006304B2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9268" w:type="dxa"/>
            <w:gridSpan w:val="3"/>
          </w:tcPr>
          <w:p w:rsidR="00411559" w:rsidRPr="006304B2" w:rsidRDefault="00411559" w:rsidP="00411559">
            <w:pPr>
              <w:rPr>
                <w:rFonts w:hint="eastAsia"/>
                <w:sz w:val="20"/>
                <w:szCs w:val="20"/>
              </w:rPr>
            </w:pPr>
            <w:r w:rsidRPr="006304B2">
              <w:rPr>
                <w:rFonts w:hint="eastAsia"/>
                <w:sz w:val="40"/>
                <w:szCs w:val="40"/>
              </w:rPr>
              <w:t>生まれる</w:t>
            </w:r>
            <w:r w:rsidR="00F565DD" w:rsidRPr="00F565DD">
              <w:rPr>
                <w:rFonts w:hint="eastAsia"/>
                <w:sz w:val="40"/>
                <w:szCs w:val="40"/>
              </w:rPr>
              <w:drawing>
                <wp:inline distT="0" distB="0" distL="0" distR="0">
                  <wp:extent cx="200025" cy="200025"/>
                  <wp:effectExtent l="19050" t="0" r="9525" b="0"/>
                  <wp:docPr id="6" name="Grafik 4" descr="ss (2013-08-10 at 04.21.17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s (2013-08-10 at 04.21.17)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52" cy="200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40"/>
                <w:szCs w:val="40"/>
              </w:rPr>
              <w:tab/>
            </w:r>
            <w:r>
              <w:rPr>
                <w:rFonts w:hint="eastAsia"/>
                <w:sz w:val="40"/>
                <w:szCs w:val="40"/>
              </w:rPr>
              <w:tab/>
              <w:t>-</w:t>
            </w:r>
            <w:r>
              <w:rPr>
                <w:rFonts w:hint="eastAsia"/>
                <w:sz w:val="40"/>
                <w:szCs w:val="40"/>
              </w:rPr>
              <w:tab/>
            </w:r>
            <w:r>
              <w:rPr>
                <w:rFonts w:hint="eastAsia"/>
                <w:sz w:val="40"/>
                <w:szCs w:val="40"/>
              </w:rPr>
              <w:tab/>
              <w:t>geboren werden</w:t>
            </w:r>
          </w:p>
        </w:tc>
      </w:tr>
      <w:tr w:rsidR="003C1555" w:rsidRPr="00F565DD" w:rsidTr="003C1555">
        <w:trPr>
          <w:gridAfter w:val="3"/>
          <w:wAfter w:w="9268" w:type="dxa"/>
          <w:trHeight w:val="465"/>
        </w:trPr>
        <w:tc>
          <w:tcPr>
            <w:tcW w:w="236" w:type="dxa"/>
          </w:tcPr>
          <w:p w:rsidR="003C1555" w:rsidRPr="006304B2" w:rsidRDefault="003C1555" w:rsidP="006304B2">
            <w:pPr>
              <w:rPr>
                <w:rFonts w:hint="eastAsia"/>
                <w:sz w:val="20"/>
                <w:szCs w:val="20"/>
              </w:rPr>
            </w:pPr>
          </w:p>
        </w:tc>
      </w:tr>
    </w:tbl>
    <w:p w:rsidR="00F565DD" w:rsidRPr="00F565DD" w:rsidRDefault="00F565DD" w:rsidP="00F565DD">
      <w:pPr>
        <w:spacing w:after="0" w:line="240" w:lineRule="auto"/>
        <w:rPr>
          <w:rFonts w:hint="eastAsia"/>
          <w:sz w:val="18"/>
          <w:szCs w:val="18"/>
        </w:rPr>
      </w:pPr>
      <w:r w:rsidRPr="00F565DD">
        <w:rPr>
          <w:rFonts w:hint="eastAsia"/>
          <w:sz w:val="18"/>
          <w:szCs w:val="18"/>
        </w:rPr>
        <w:t xml:space="preserve">(die Romajilesung </w:t>
      </w:r>
      <w:r w:rsidRPr="00F565DD">
        <w:rPr>
          <w:sz w:val="18"/>
          <w:szCs w:val="18"/>
        </w:rPr>
        <w:t>könnte</w:t>
      </w:r>
      <w:r w:rsidRPr="00F565DD">
        <w:rPr>
          <w:rFonts w:hint="eastAsia"/>
          <w:sz w:val="18"/>
          <w:szCs w:val="18"/>
        </w:rPr>
        <w:t xml:space="preserve"> bei Bedarf in den Text gepackt werden, der beim Hovern des Fragezeichens angezeigt wird)</w:t>
      </w:r>
    </w:p>
    <w:p w:rsidR="00411559" w:rsidRDefault="00411559" w:rsidP="006304B2">
      <w:pPr>
        <w:spacing w:after="0" w:line="240" w:lineRule="auto"/>
        <w:rPr>
          <w:rFonts w:hint="eastAsia"/>
        </w:rPr>
      </w:pPr>
      <w:r>
        <w:rPr>
          <w:rFonts w:hint="eastAsia"/>
        </w:rPr>
        <w:t>Ist so gedacht, dass es den Leuten, die dabei sind zu lernen wie Kanji gelesen werden, eine Lern- und Lesehilfe gibt.</w:t>
      </w:r>
    </w:p>
    <w:p w:rsidR="00411559" w:rsidRDefault="00411559" w:rsidP="006304B2">
      <w:pPr>
        <w:spacing w:after="0" w:line="240" w:lineRule="auto"/>
        <w:rPr>
          <w:rFonts w:hint="eastAsia"/>
        </w:rPr>
      </w:pPr>
    </w:p>
    <w:p w:rsidR="00826E91" w:rsidRDefault="00826E91" w:rsidP="006304B2">
      <w:pPr>
        <w:spacing w:after="0" w:line="240" w:lineRule="auto"/>
        <w:rPr>
          <w:rFonts w:hint="eastAsia"/>
        </w:rPr>
      </w:pPr>
    </w:p>
    <w:p w:rsidR="00826E91" w:rsidRDefault="00826E91" w:rsidP="006304B2">
      <w:pPr>
        <w:spacing w:after="0" w:line="240" w:lineRule="auto"/>
        <w:rPr>
          <w:rFonts w:hint="eastAsia"/>
        </w:rPr>
      </w:pPr>
    </w:p>
    <w:p w:rsidR="00826E91" w:rsidRDefault="00826E91" w:rsidP="006304B2">
      <w:pPr>
        <w:spacing w:after="0" w:line="240" w:lineRule="auto"/>
        <w:rPr>
          <w:rFonts w:hint="eastAsia"/>
        </w:rPr>
      </w:pPr>
    </w:p>
    <w:p w:rsidR="00826E91" w:rsidRDefault="00826E91" w:rsidP="006304B2">
      <w:pPr>
        <w:spacing w:after="0" w:line="240" w:lineRule="auto"/>
        <w:rPr>
          <w:rFonts w:hint="eastAsia"/>
        </w:rPr>
      </w:pPr>
    </w:p>
    <w:p w:rsidR="00411559" w:rsidRDefault="00F565DD" w:rsidP="006304B2">
      <w:pPr>
        <w:spacing w:after="0" w:line="240" w:lineRule="auto"/>
        <w:rPr>
          <w:rFonts w:hint="eastAsia"/>
        </w:rPr>
      </w:pPr>
      <w:r>
        <w:lastRenderedPageBreak/>
        <w:t>Für</w:t>
      </w:r>
      <w:r w:rsidR="00411559">
        <w:rPr>
          <w:rFonts w:hint="eastAsia"/>
        </w:rPr>
        <w:t xml:space="preserve"> Romaji</w:t>
      </w:r>
      <w:r w:rsidR="00826E91">
        <w:rPr>
          <w:rFonts w:hint="eastAsia"/>
        </w:rPr>
        <w:t>-only</w:t>
      </w:r>
      <w:r w:rsidR="00411559">
        <w:rPr>
          <w:rFonts w:hint="eastAsia"/>
        </w:rPr>
        <w:t xml:space="preserve"> dann wie folgt:</w:t>
      </w:r>
    </w:p>
    <w:p w:rsidR="00411559" w:rsidRDefault="00411559" w:rsidP="006304B2">
      <w:pPr>
        <w:spacing w:after="0" w:line="240" w:lineRule="auto"/>
        <w:rPr>
          <w:rFonts w:hint="eastAsia"/>
        </w:rPr>
      </w:pPr>
    </w:p>
    <w:p w:rsidR="00411559" w:rsidRDefault="00411559" w:rsidP="006304B2">
      <w:pPr>
        <w:spacing w:after="0" w:line="240" w:lineRule="auto"/>
        <w:rPr>
          <w:rFonts w:hint="eastAsia"/>
          <w:sz w:val="40"/>
          <w:szCs w:val="40"/>
        </w:rPr>
      </w:pPr>
      <w:r>
        <w:rPr>
          <w:sz w:val="40"/>
          <w:szCs w:val="40"/>
        </w:rPr>
        <w:t>umareru</w:t>
      </w:r>
      <w:r>
        <w:rPr>
          <w:rFonts w:hint="eastAsia"/>
          <w:sz w:val="40"/>
          <w:szCs w:val="40"/>
        </w:rPr>
        <w:tab/>
      </w:r>
      <w:r>
        <w:rPr>
          <w:rFonts w:hint="eastAsia"/>
          <w:sz w:val="40"/>
          <w:szCs w:val="40"/>
        </w:rPr>
        <w:tab/>
      </w:r>
      <w:r>
        <w:rPr>
          <w:sz w:val="40"/>
          <w:szCs w:val="40"/>
        </w:rPr>
        <w:t>-</w:t>
      </w:r>
      <w:r>
        <w:rPr>
          <w:rFonts w:hint="eastAsia"/>
          <w:sz w:val="40"/>
          <w:szCs w:val="40"/>
        </w:rPr>
        <w:tab/>
        <w:t>geboren werden</w:t>
      </w:r>
    </w:p>
    <w:p w:rsidR="00411559" w:rsidRDefault="00411559" w:rsidP="006304B2">
      <w:pPr>
        <w:spacing w:after="0" w:line="240" w:lineRule="auto"/>
        <w:rPr>
          <w:rFonts w:hint="eastAsia"/>
          <w:sz w:val="40"/>
          <w:szCs w:val="40"/>
        </w:rPr>
      </w:pPr>
    </w:p>
    <w:p w:rsidR="00411559" w:rsidRDefault="00F565DD" w:rsidP="00411559">
      <w:pPr>
        <w:spacing w:after="0" w:line="240" w:lineRule="auto"/>
        <w:rPr>
          <w:rFonts w:hint="eastAsia"/>
        </w:rPr>
      </w:pPr>
      <w:r>
        <w:t>Für</w:t>
      </w:r>
      <w:r w:rsidR="00411559">
        <w:rPr>
          <w:rFonts w:hint="eastAsia"/>
        </w:rPr>
        <w:t xml:space="preserve"> Leute, die sich nicht so </w:t>
      </w:r>
      <w:r>
        <w:t>dafür</w:t>
      </w:r>
      <w:r w:rsidR="00411559">
        <w:rPr>
          <w:rFonts w:hint="eastAsia"/>
        </w:rPr>
        <w:t xml:space="preserve"> interessieren, wie Japanisch gelesen wird / die gerade anfangen und Hiragana noch nicht </w:t>
      </w:r>
      <w:r>
        <w:t>können</w:t>
      </w:r>
    </w:p>
    <w:p w:rsidR="003C1555" w:rsidRDefault="003C1555" w:rsidP="00411559">
      <w:pPr>
        <w:spacing w:after="0" w:line="240" w:lineRule="auto"/>
        <w:rPr>
          <w:rFonts w:hint="eastAsia"/>
        </w:rPr>
      </w:pPr>
    </w:p>
    <w:p w:rsidR="003C1555" w:rsidRDefault="003C1555" w:rsidP="00411559">
      <w:pPr>
        <w:spacing w:after="0" w:line="240" w:lineRule="auto"/>
        <w:rPr>
          <w:rFonts w:hint="eastAsia"/>
        </w:rPr>
      </w:pPr>
    </w:p>
    <w:p w:rsidR="00411559" w:rsidRDefault="00F565DD" w:rsidP="00411559">
      <w:pPr>
        <w:spacing w:after="0" w:line="240" w:lineRule="auto"/>
        <w:rPr>
          <w:rFonts w:hint="eastAsia"/>
        </w:rPr>
      </w:pPr>
      <w:r>
        <w:t>Für</w:t>
      </w:r>
      <w:r w:rsidR="00411559">
        <w:rPr>
          <w:rFonts w:hint="eastAsia"/>
        </w:rPr>
        <w:t xml:space="preserve"> Hiragana</w:t>
      </w:r>
      <w:r w:rsidR="003C1555">
        <w:rPr>
          <w:rFonts w:hint="eastAsia"/>
        </w:rPr>
        <w:t>/Katakana</w:t>
      </w:r>
      <w:r w:rsidR="00411559">
        <w:rPr>
          <w:rFonts w:hint="eastAsia"/>
        </w:rPr>
        <w:t>:</w:t>
      </w:r>
    </w:p>
    <w:p w:rsidR="00411559" w:rsidRDefault="00411559" w:rsidP="00411559">
      <w:pPr>
        <w:spacing w:after="0" w:line="240" w:lineRule="auto"/>
        <w:rPr>
          <w:rFonts w:hint="eastAsia"/>
        </w:rPr>
      </w:pPr>
    </w:p>
    <w:p w:rsidR="00411559" w:rsidRDefault="00411559" w:rsidP="00411559">
      <w:pPr>
        <w:spacing w:after="0" w:line="240" w:lineRule="auto"/>
        <w:rPr>
          <w:rFonts w:hint="eastAsia"/>
          <w:sz w:val="40"/>
          <w:szCs w:val="40"/>
        </w:rPr>
      </w:pPr>
      <w:r w:rsidRPr="00411559">
        <w:rPr>
          <w:rFonts w:hint="eastAsia"/>
          <w:sz w:val="40"/>
          <w:szCs w:val="40"/>
        </w:rPr>
        <w:t>うまれる</w:t>
      </w:r>
      <w:r w:rsidR="00F565DD">
        <w:rPr>
          <w:rFonts w:hint="eastAsia"/>
          <w:noProof/>
          <w:sz w:val="40"/>
          <w:szCs w:val="40"/>
        </w:rPr>
        <w:drawing>
          <wp:inline distT="0" distB="0" distL="0" distR="0">
            <wp:extent cx="200025" cy="200025"/>
            <wp:effectExtent l="19050" t="0" r="9525" b="0"/>
            <wp:docPr id="5" name="Grafik 4" descr="ss (2013-08-10 at 04.21.1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 (2013-08-10 at 04.21.17)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52" cy="200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40"/>
          <w:szCs w:val="40"/>
        </w:rPr>
        <w:tab/>
        <w:t>-</w:t>
      </w:r>
      <w:r>
        <w:rPr>
          <w:rFonts w:hint="eastAsia"/>
          <w:sz w:val="40"/>
          <w:szCs w:val="40"/>
        </w:rPr>
        <w:tab/>
        <w:t>geboren werden</w:t>
      </w:r>
    </w:p>
    <w:p w:rsidR="003C1555" w:rsidRDefault="003C1555" w:rsidP="00411559">
      <w:pPr>
        <w:spacing w:after="0" w:line="240" w:lineRule="auto"/>
        <w:rPr>
          <w:rFonts w:hint="eastAsia"/>
        </w:rPr>
      </w:pPr>
      <w:r>
        <w:rPr>
          <w:rFonts w:hint="eastAsia"/>
        </w:rPr>
        <w:t xml:space="preserve">(Die Romajiversion </w:t>
      </w:r>
      <w:r w:rsidR="00F565DD">
        <w:t>könnte</w:t>
      </w:r>
      <w:r>
        <w:rPr>
          <w:rFonts w:hint="eastAsia"/>
        </w:rPr>
        <w:t xml:space="preserve"> wie bei der Auswahl in einem Fragezeichen dahinter stehen, falls man sich nicht sicher ist.)</w:t>
      </w:r>
    </w:p>
    <w:p w:rsidR="003C1555" w:rsidRDefault="00F565DD" w:rsidP="00411559">
      <w:pPr>
        <w:spacing w:after="0" w:line="240" w:lineRule="auto"/>
        <w:rPr>
          <w:rFonts w:hint="eastAsia"/>
        </w:rPr>
      </w:pPr>
      <w:r>
        <w:t>G</w:t>
      </w:r>
      <w:r>
        <w:rPr>
          <w:rFonts w:hint="eastAsia"/>
        </w:rPr>
        <w:t xml:space="preserve">edacht </w:t>
      </w:r>
      <w:r>
        <w:t>für</w:t>
      </w:r>
      <w:r w:rsidR="003C1555">
        <w:rPr>
          <w:rFonts w:hint="eastAsia"/>
        </w:rPr>
        <w:t xml:space="preserve"> Leute, die die Lautschrift schon lesen </w:t>
      </w:r>
      <w:r>
        <w:t>können</w:t>
      </w:r>
      <w:r w:rsidR="003C1555">
        <w:rPr>
          <w:rFonts w:hint="eastAsia"/>
        </w:rPr>
        <w:t>, aber</w:t>
      </w:r>
      <w:r>
        <w:rPr>
          <w:rFonts w:hint="eastAsia"/>
        </w:rPr>
        <w:t xml:space="preserve"> noch nicht sicher im Stoff sind.</w:t>
      </w:r>
    </w:p>
    <w:p w:rsidR="003C1555" w:rsidRDefault="003C1555" w:rsidP="00411559">
      <w:pPr>
        <w:spacing w:after="0" w:line="240" w:lineRule="auto"/>
        <w:rPr>
          <w:rFonts w:hint="eastAsia"/>
        </w:rPr>
      </w:pPr>
    </w:p>
    <w:p w:rsidR="003C1555" w:rsidRDefault="003C1555" w:rsidP="00411559">
      <w:pPr>
        <w:spacing w:after="0" w:line="240" w:lineRule="auto"/>
        <w:rPr>
          <w:rFonts w:hint="eastAsia"/>
        </w:rPr>
      </w:pPr>
    </w:p>
    <w:p w:rsidR="003C1555" w:rsidRDefault="00F565DD" w:rsidP="00411559">
      <w:pPr>
        <w:spacing w:after="0" w:line="240" w:lineRule="auto"/>
        <w:rPr>
          <w:rFonts w:hint="eastAsia"/>
        </w:rPr>
      </w:pPr>
      <w:r>
        <w:t>Für</w:t>
      </w:r>
      <w:r w:rsidR="003C1555">
        <w:rPr>
          <w:rFonts w:hint="eastAsia"/>
        </w:rPr>
        <w:t xml:space="preserve"> Hiragana/Katakana + Romaji</w:t>
      </w:r>
    </w:p>
    <w:p w:rsidR="003C1555" w:rsidRDefault="003C1555" w:rsidP="00411559">
      <w:pPr>
        <w:spacing w:after="0" w:line="240" w:lineRule="auto"/>
        <w:rPr>
          <w:rFonts w:hint="eastAsia"/>
        </w:rPr>
      </w:pPr>
    </w:p>
    <w:p w:rsidR="003C1555" w:rsidRDefault="003C1555" w:rsidP="00411559">
      <w:pPr>
        <w:spacing w:after="0" w:line="240" w:lineRule="auto"/>
        <w:rPr>
          <w:rFonts w:hint="eastAsia"/>
        </w:rPr>
      </w:pPr>
      <w:r>
        <w:rPr>
          <w:rFonts w:hint="eastAsia"/>
        </w:rPr>
        <w:t xml:space="preserve">  u    </w:t>
      </w:r>
      <w:r w:rsidR="00F565DD">
        <w:rPr>
          <w:rFonts w:hint="eastAsia"/>
        </w:rPr>
        <w:t xml:space="preserve">  ma  </w:t>
      </w:r>
      <w:r>
        <w:rPr>
          <w:rFonts w:hint="eastAsia"/>
        </w:rPr>
        <w:t xml:space="preserve"> re    ru</w:t>
      </w:r>
    </w:p>
    <w:p w:rsidR="003C1555" w:rsidRDefault="003C1555" w:rsidP="00411559">
      <w:pPr>
        <w:spacing w:after="0" w:line="240" w:lineRule="auto"/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>うまれる</w:t>
      </w:r>
      <w:r>
        <w:rPr>
          <w:rFonts w:hint="eastAsia"/>
          <w:sz w:val="40"/>
          <w:szCs w:val="40"/>
        </w:rPr>
        <w:tab/>
        <w:t>-</w:t>
      </w:r>
      <w:r>
        <w:rPr>
          <w:rFonts w:hint="eastAsia"/>
          <w:sz w:val="40"/>
          <w:szCs w:val="40"/>
        </w:rPr>
        <w:tab/>
        <w:t>geboren werden</w:t>
      </w:r>
    </w:p>
    <w:p w:rsidR="003C1555" w:rsidRDefault="003C1555" w:rsidP="00411559">
      <w:pPr>
        <w:spacing w:after="0" w:line="240" w:lineRule="auto"/>
        <w:rPr>
          <w:rFonts w:hint="eastAsia"/>
          <w:sz w:val="40"/>
          <w:szCs w:val="40"/>
        </w:rPr>
      </w:pPr>
    </w:p>
    <w:p w:rsidR="003C1555" w:rsidRDefault="003C1555" w:rsidP="00411559">
      <w:pPr>
        <w:spacing w:after="0" w:line="240" w:lineRule="auto"/>
        <w:rPr>
          <w:rFonts w:hint="eastAsia"/>
        </w:rPr>
      </w:pPr>
      <w:r>
        <w:t>Q</w:t>
      </w:r>
      <w:r>
        <w:rPr>
          <w:rFonts w:hint="eastAsia"/>
        </w:rPr>
        <w:t xml:space="preserve">uasi dasselbe wie </w:t>
      </w:r>
      <w:r w:rsidR="00F565DD">
        <w:t>für</w:t>
      </w:r>
      <w:r>
        <w:rPr>
          <w:rFonts w:hint="eastAsia"/>
        </w:rPr>
        <w:t xml:space="preserve"> Furigana, nur mit Romaji, </w:t>
      </w:r>
      <w:r w:rsidR="00F565DD">
        <w:t>für</w:t>
      </w:r>
      <w:r>
        <w:rPr>
          <w:rFonts w:hint="eastAsia"/>
        </w:rPr>
        <w:t xml:space="preserve"> Leute, die gerade die Kana lernen.</w:t>
      </w:r>
    </w:p>
    <w:p w:rsidR="00F565DD" w:rsidRDefault="00F565DD" w:rsidP="00411559">
      <w:pPr>
        <w:spacing w:after="0" w:line="240" w:lineRule="auto"/>
        <w:rPr>
          <w:rFonts w:hint="eastAsia"/>
        </w:rPr>
      </w:pPr>
    </w:p>
    <w:p w:rsidR="00F565DD" w:rsidRDefault="00F565DD" w:rsidP="00411559">
      <w:pPr>
        <w:spacing w:after="0" w:line="240" w:lineRule="auto"/>
        <w:rPr>
          <w:rFonts w:hint="eastAsia"/>
        </w:rPr>
      </w:pPr>
      <w:r>
        <w:rPr>
          <w:rFonts w:hint="eastAsia"/>
        </w:rPr>
        <w:t xml:space="preserve">Art der Vokabel soll bei allen Antworten dahinter stehen, nur die Antwortmethode (Schreibweise) soll sich bei dieser Option </w:t>
      </w:r>
      <w:r>
        <w:t>ändern</w:t>
      </w:r>
      <w:r>
        <w:rPr>
          <w:rFonts w:hint="eastAsia"/>
        </w:rPr>
        <w:t>.</w:t>
      </w:r>
    </w:p>
    <w:p w:rsidR="003C1555" w:rsidRPr="003C1555" w:rsidRDefault="003C1555" w:rsidP="00411559">
      <w:pPr>
        <w:spacing w:after="0" w:line="240" w:lineRule="auto"/>
        <w:rPr>
          <w:rFonts w:hint="eastAsia"/>
        </w:rPr>
      </w:pPr>
    </w:p>
    <w:sectPr w:rsidR="003C1555" w:rsidRPr="003C1555" w:rsidSect="009160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2D9B"/>
    <w:multiLevelType w:val="hybridMultilevel"/>
    <w:tmpl w:val="940ADA08"/>
    <w:lvl w:ilvl="0" w:tplc="966AFA4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C1CD0"/>
    <w:rsid w:val="0029441F"/>
    <w:rsid w:val="003C1555"/>
    <w:rsid w:val="00411559"/>
    <w:rsid w:val="006304B2"/>
    <w:rsid w:val="0070183E"/>
    <w:rsid w:val="00826E91"/>
    <w:rsid w:val="009160CA"/>
    <w:rsid w:val="00CC1CD0"/>
    <w:rsid w:val="00F565DD"/>
    <w:rsid w:val="00F61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60C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C1CD0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1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11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630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4115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07910-6566-4719-B540-2B8D4A54C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</dc:creator>
  <cp:lastModifiedBy>Dennis</cp:lastModifiedBy>
  <cp:revision>1</cp:revision>
  <dcterms:created xsi:type="dcterms:W3CDTF">2013-08-10T13:14:00Z</dcterms:created>
  <dcterms:modified xsi:type="dcterms:W3CDTF">2013-08-10T14:36:00Z</dcterms:modified>
</cp:coreProperties>
</file>