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B94" w:rsidRDefault="007E39A5" w:rsidP="00D7298A">
      <w:pPr>
        <w:bidi/>
        <w:rPr>
          <w:rFonts w:hint="cs"/>
          <w:b/>
          <w:bCs/>
          <w:sz w:val="32"/>
          <w:szCs w:val="32"/>
          <w:rtl/>
        </w:rPr>
      </w:pPr>
      <w:bookmarkStart w:id="0" w:name="_GoBack"/>
      <w:bookmarkEnd w:id="0"/>
      <w:r>
        <w:rPr>
          <w:rFonts w:hint="cs"/>
          <w:b/>
          <w:bCs/>
          <w:sz w:val="32"/>
          <w:szCs w:val="32"/>
          <w:rtl/>
        </w:rPr>
        <w:t>זכויות אדם ואזרח</w:t>
      </w:r>
    </w:p>
    <w:p w:rsidR="007E39A5" w:rsidRPr="007E39A5" w:rsidRDefault="007E39A5" w:rsidP="007E39A5">
      <w:pPr>
        <w:bidi/>
        <w:rPr>
          <w:rFonts w:hint="cs"/>
          <w:rtl/>
        </w:rPr>
      </w:pPr>
      <w:r>
        <w:rPr>
          <w:rFonts w:hint="cs"/>
          <w:rtl/>
        </w:rPr>
        <w:t>עמ' 226 שאלה 1</w:t>
      </w:r>
    </w:p>
    <w:p w:rsidR="007E39A5" w:rsidRDefault="007E39A5" w:rsidP="007E39A5">
      <w:pPr>
        <w:pStyle w:val="ListParagraph"/>
        <w:numPr>
          <w:ilvl w:val="0"/>
          <w:numId w:val="6"/>
        </w:numPr>
        <w:bidi/>
      </w:pPr>
      <w:r>
        <w:rPr>
          <w:rFonts w:hint="cs"/>
          <w:rtl/>
        </w:rPr>
        <w:t xml:space="preserve">בילוש או התחקות אחרי אדם, העלולים להטרידו. </w:t>
      </w:r>
    </w:p>
    <w:p w:rsidR="007E39A5" w:rsidRDefault="007E39A5" w:rsidP="007E39A5">
      <w:pPr>
        <w:pStyle w:val="ListParagraph"/>
        <w:bidi/>
        <w:rPr>
          <w:rtl/>
        </w:rPr>
      </w:pPr>
      <w:r>
        <w:rPr>
          <w:rFonts w:hint="cs"/>
          <w:rtl/>
        </w:rPr>
        <w:t>אדם המעוניין לבצע דברים ללא ידיעת אנשים מסוימים ייפגע מאוד אם יבלשו אחריו, ובכך סודותים יוודעו. הוא יכול לרצות ללכת למפגשים של אלכוהוליסטים אנונימיים, ללכת לזונה, ללכת למפגשי יעוץ לקראת יציאה מהארון, ולרצות שהדבר ישמר בסוד.</w:t>
      </w:r>
    </w:p>
    <w:p w:rsidR="007E39A5" w:rsidRDefault="007E39A5" w:rsidP="007E39A5">
      <w:pPr>
        <w:pStyle w:val="ListParagraph"/>
        <w:numPr>
          <w:ilvl w:val="0"/>
          <w:numId w:val="6"/>
        </w:numPr>
        <w:bidi/>
      </w:pPr>
      <w:r>
        <w:rPr>
          <w:rFonts w:hint="cs"/>
          <w:rtl/>
        </w:rPr>
        <w:t>האזנה האסורה על פי חוק.</w:t>
      </w:r>
    </w:p>
    <w:p w:rsidR="00D7298A" w:rsidRDefault="007E39A5" w:rsidP="00D7298A">
      <w:pPr>
        <w:pStyle w:val="ListParagraph"/>
        <w:bidi/>
        <w:rPr>
          <w:rtl/>
        </w:rPr>
      </w:pPr>
      <w:r>
        <w:rPr>
          <w:rFonts w:hint="cs"/>
          <w:rtl/>
        </w:rPr>
        <w:t>אדם המספר בשיחת טלפון או בעל פה מידע רגיש או סודי שהוא אינו מעוניין שידלוף, יכול להיפגע כאשר מתבצעת נגדו האזנה (אסורה לפי החוק)</w:t>
      </w:r>
      <w:r w:rsidR="00D7298A">
        <w:rPr>
          <w:rFonts w:hint="cs"/>
          <w:rtl/>
        </w:rPr>
        <w:t>. לאדם יכול להיגרם נזק שכולל מבוכה, פגיעה בביטחונו, פגיעה בקשר שלו עם מכריו, וכו'.</w:t>
      </w:r>
    </w:p>
    <w:p w:rsidR="00D7298A" w:rsidRDefault="00D7298A" w:rsidP="00D7298A">
      <w:pPr>
        <w:pStyle w:val="ListParagraph"/>
        <w:numPr>
          <w:ilvl w:val="0"/>
          <w:numId w:val="7"/>
        </w:numPr>
        <w:bidi/>
        <w:rPr>
          <w:rFonts w:hint="cs"/>
        </w:rPr>
      </w:pPr>
      <w:r>
        <w:rPr>
          <w:rFonts w:hint="cs"/>
          <w:rtl/>
        </w:rPr>
        <w:t>פרסום תצלומו של אדם ברבים, בנסיבות שבהן הוא עלול להשפילו או לבזותו.</w:t>
      </w:r>
    </w:p>
    <w:p w:rsidR="00D7298A" w:rsidRDefault="00D7298A" w:rsidP="00D7298A">
      <w:pPr>
        <w:pStyle w:val="ListParagraph"/>
        <w:bidi/>
        <w:rPr>
          <w:rtl/>
        </w:rPr>
      </w:pPr>
      <w:r>
        <w:rPr>
          <w:rFonts w:hint="cs"/>
          <w:rtl/>
        </w:rPr>
        <w:t>אדם יכול להינזק רבות מפרסומי תצלומו. הוא יכול להיות מושפל או מבוזה. דוגמא לכך יכולה להיות כאשר אדם צולם עושה שטויות כשהוא שיכור, ולאחר פרסום התמונות בפייסבוק, הוא מרגיש מבוזה ליד חבריו שצפו בתמונה.</w:t>
      </w:r>
    </w:p>
    <w:p w:rsidR="00D7298A" w:rsidRPr="007E39A5" w:rsidRDefault="00D7298A" w:rsidP="00D7298A">
      <w:pPr>
        <w:bidi/>
        <w:rPr>
          <w:rFonts w:hint="cs"/>
          <w:rtl/>
        </w:rPr>
      </w:pPr>
      <w:r>
        <w:rPr>
          <w:rFonts w:hint="cs"/>
          <w:rtl/>
        </w:rPr>
        <w:t xml:space="preserve">עמ' 226 שאלה </w:t>
      </w:r>
      <w:r>
        <w:rPr>
          <w:rFonts w:hint="cs"/>
          <w:rtl/>
        </w:rPr>
        <w:t>2</w:t>
      </w:r>
    </w:p>
    <w:p w:rsidR="00D7298A" w:rsidRDefault="00D7298A" w:rsidP="00D7298A">
      <w:pPr>
        <w:pStyle w:val="ListParagraph"/>
        <w:bidi/>
        <w:rPr>
          <w:rFonts w:hint="cs"/>
          <w:rtl/>
        </w:rPr>
      </w:pPr>
      <w:r>
        <w:rPr>
          <w:rFonts w:hint="cs"/>
          <w:rtl/>
        </w:rPr>
        <w:t xml:space="preserve"> לאנשים רבים ישנם סודות מסויימים שאינם רוצים שייתגלו, מכיוון שסודות אלו יפגעו בכבודם. כאשר פרטיותו של אדם לא מכובדת, סודותיו אלו יכולים להתגלות, ובכך מלבד הפגיעה בפרטיותו ישנה גם פגיעה קשה בכבודו של האדם. על כן, חוקי הגנת הפרטיות, מגינים בין היתר גם על כבודו של האדם.</w:t>
      </w:r>
    </w:p>
    <w:p w:rsidR="00D7298A" w:rsidRPr="007E39A5" w:rsidRDefault="00D7298A" w:rsidP="00D7298A">
      <w:pPr>
        <w:bidi/>
        <w:rPr>
          <w:rFonts w:hint="cs"/>
          <w:rtl/>
        </w:rPr>
      </w:pPr>
      <w:r>
        <w:rPr>
          <w:rFonts w:hint="cs"/>
          <w:rtl/>
        </w:rPr>
        <w:t xml:space="preserve">עמ' 226 שאלה </w:t>
      </w:r>
      <w:r>
        <w:rPr>
          <w:rFonts w:hint="cs"/>
          <w:rtl/>
        </w:rPr>
        <w:t>4</w:t>
      </w:r>
    </w:p>
    <w:p w:rsidR="00252C96" w:rsidRDefault="00252C96" w:rsidP="00D7298A">
      <w:pPr>
        <w:pStyle w:val="ListParagraph"/>
        <w:bidi/>
        <w:rPr>
          <w:rtl/>
        </w:rPr>
      </w:pPr>
      <w:r>
        <w:rPr>
          <w:rFonts w:hint="cs"/>
          <w:rtl/>
        </w:rPr>
        <w:t>העיריה יכולה להתבסס על סעיף 1 באמנת זכויות הילד : "המדינות ... ינקטו צעדים ... להגן על הילד מפני אלימות פיזית או נפשית, חבלה או התעללות, הזנחה, רשלנות, אכזריות, ניצול והתעללות מינית". מכיוון שעל המדינה לנקוט צעדים לצורך הגנת הילדים, החלטת העיריה להציב מצלמות אבטחה תואמת את זכות זו.</w:t>
      </w:r>
    </w:p>
    <w:p w:rsidR="00252C96" w:rsidRDefault="00252C96" w:rsidP="00252C96">
      <w:pPr>
        <w:pStyle w:val="ListParagraph"/>
        <w:bidi/>
        <w:rPr>
          <w:rtl/>
        </w:rPr>
      </w:pPr>
      <w:r>
        <w:rPr>
          <w:rFonts w:hint="cs"/>
          <w:rtl/>
        </w:rPr>
        <w:t>החלטת העיריה מתנגשת עם הזכות לפרטיות. בחוק הגנת הפרטיות מוגדר כי "בילוש או התחקות אחרי אדם", הוא מנוגד לחוק ולזכות האדם לפרטיות. הצבת מצלמות אבטחה יכולה להתפרש כבילוש והתחקות אחר התלמידים והמורים.</w:t>
      </w:r>
    </w:p>
    <w:p w:rsidR="00252C96" w:rsidRDefault="00252C96" w:rsidP="00252C96">
      <w:pPr>
        <w:pStyle w:val="ListParagraph"/>
        <w:bidi/>
        <w:rPr>
          <w:rtl/>
        </w:rPr>
      </w:pPr>
      <w:r>
        <w:rPr>
          <w:rFonts w:hint="cs"/>
          <w:rtl/>
        </w:rPr>
        <w:t xml:space="preserve">הפתרון הראוי הוא שקילת היתרונות והחסרונות </w:t>
      </w:r>
      <w:r>
        <w:rPr>
          <w:rtl/>
        </w:rPr>
        <w:t>–</w:t>
      </w:r>
      <w:r>
        <w:rPr>
          <w:rFonts w:hint="cs"/>
          <w:rtl/>
        </w:rPr>
        <w:t xml:space="preserve"> הזכויות שעליהם מתבססת העיריה, לעומת הזכויות המתנגשות עם ההחלטה. ולדעתי, היתרונות עולים על החסרונות והחלטת העיריה נכונה.</w:t>
      </w:r>
    </w:p>
    <w:p w:rsidR="00252C96" w:rsidRPr="007E39A5" w:rsidRDefault="00252C96" w:rsidP="00252C96">
      <w:pPr>
        <w:bidi/>
        <w:rPr>
          <w:rFonts w:hint="cs"/>
          <w:rtl/>
        </w:rPr>
      </w:pPr>
      <w:r>
        <w:rPr>
          <w:rFonts w:hint="cs"/>
          <w:rtl/>
        </w:rPr>
        <w:t>עמ' 2</w:t>
      </w:r>
      <w:r>
        <w:rPr>
          <w:rFonts w:hint="cs"/>
          <w:rtl/>
        </w:rPr>
        <w:t>30</w:t>
      </w:r>
      <w:r>
        <w:rPr>
          <w:rFonts w:hint="cs"/>
          <w:rtl/>
        </w:rPr>
        <w:t xml:space="preserve"> שאלה </w:t>
      </w:r>
      <w:r>
        <w:rPr>
          <w:rFonts w:hint="cs"/>
          <w:rtl/>
        </w:rPr>
        <w:t>3</w:t>
      </w:r>
    </w:p>
    <w:p w:rsidR="00192400" w:rsidRDefault="00192400" w:rsidP="00192400">
      <w:pPr>
        <w:pStyle w:val="ListParagraph"/>
        <w:bidi/>
        <w:rPr>
          <w:rtl/>
        </w:rPr>
      </w:pPr>
      <w:r>
        <w:rPr>
          <w:rFonts w:hint="cs"/>
          <w:rtl/>
        </w:rPr>
        <w:t xml:space="preserve">ההתלבטות שעמדת השופט משקפת היא </w:t>
      </w:r>
      <w:r>
        <w:rPr>
          <w:rtl/>
        </w:rPr>
        <w:t>–</w:t>
      </w:r>
      <w:r>
        <w:rPr>
          <w:rFonts w:hint="cs"/>
          <w:rtl/>
        </w:rPr>
        <w:t xml:space="preserve"> </w:t>
      </w:r>
    </w:p>
    <w:p w:rsidR="00D7298A" w:rsidRDefault="00192400" w:rsidP="00192400">
      <w:pPr>
        <w:pStyle w:val="ListParagraph"/>
        <w:bidi/>
        <w:rPr>
          <w:rtl/>
        </w:rPr>
      </w:pPr>
      <w:r>
        <w:rPr>
          <w:rFonts w:hint="cs"/>
          <w:rtl/>
        </w:rPr>
        <w:t>מתי עומד חופש הביטוי מעל הזכויות האחרות ? באילו מקרים, באילו התבטאויות, ושל איזה אנשים ההתבטאויות צריכות לזכות במלוא הגנת חופש הביטוי ?</w:t>
      </w:r>
    </w:p>
    <w:p w:rsidR="00192400" w:rsidRDefault="00192400" w:rsidP="00192400">
      <w:pPr>
        <w:pStyle w:val="ListParagraph"/>
        <w:bidi/>
        <w:rPr>
          <w:rtl/>
        </w:rPr>
      </w:pPr>
      <w:r>
        <w:rPr>
          <w:rFonts w:hint="cs"/>
          <w:rtl/>
        </w:rPr>
        <w:t xml:space="preserve">ניתן ללמוד מעמדתו של השופט כי חופש הביטוי אינו מוחלט שהוא תומך בצדק, בהתיחסות למקרים הספציפיים, ובחינת חומרת הפגיעה בזכויות האחרות לעומת הזכות להתבטאות בצורה חופשית. </w:t>
      </w:r>
    </w:p>
    <w:p w:rsidR="005B45EA" w:rsidRDefault="005B45EA" w:rsidP="005B45EA">
      <w:pPr>
        <w:pStyle w:val="ListParagraph"/>
        <w:bidi/>
        <w:rPr>
          <w:rtl/>
        </w:rPr>
      </w:pPr>
    </w:p>
    <w:p w:rsidR="005B45EA" w:rsidRDefault="002768CD" w:rsidP="005B45EA">
      <w:pPr>
        <w:pStyle w:val="ListParagraph"/>
        <w:numPr>
          <w:ilvl w:val="0"/>
          <w:numId w:val="9"/>
        </w:numPr>
        <w:bidi/>
        <w:rPr>
          <w:rFonts w:hint="cs"/>
        </w:rPr>
      </w:pPr>
      <w:r>
        <w:rPr>
          <w:rFonts w:hint="cs"/>
          <w:rtl/>
        </w:rPr>
        <w:t xml:space="preserve">חובת תשלום מיסים </w:t>
      </w:r>
      <w:r>
        <w:rPr>
          <w:rtl/>
        </w:rPr>
        <w:t>–</w:t>
      </w:r>
      <w:r>
        <w:rPr>
          <w:rFonts w:hint="cs"/>
          <w:rtl/>
        </w:rPr>
        <w:t xml:space="preserve"> על כל אזרח במדינה לשלם את המיסים אותם הוא חייב על פי החוק לשלם. המסים יכולים להיות </w:t>
      </w:r>
      <w:r>
        <w:rPr>
          <w:rtl/>
        </w:rPr>
        <w:t>–</w:t>
      </w:r>
      <w:r>
        <w:rPr>
          <w:rFonts w:hint="cs"/>
          <w:rtl/>
        </w:rPr>
        <w:t xml:space="preserve"> ביטוח לאומי, מס הכנסה, ומס ערך מוסף.</w:t>
      </w:r>
    </w:p>
    <w:p w:rsidR="002768CD" w:rsidRDefault="002768CD" w:rsidP="002768CD">
      <w:pPr>
        <w:pStyle w:val="ListParagraph"/>
        <w:bidi/>
        <w:rPr>
          <w:rtl/>
        </w:rPr>
      </w:pPr>
      <w:r>
        <w:rPr>
          <w:rFonts w:hint="cs"/>
          <w:rtl/>
        </w:rPr>
        <w:t xml:space="preserve">חובת כיבוד החוק </w:t>
      </w:r>
      <w:r>
        <w:rPr>
          <w:rtl/>
        </w:rPr>
        <w:t>–</w:t>
      </w:r>
      <w:r>
        <w:rPr>
          <w:rFonts w:hint="cs"/>
          <w:rtl/>
        </w:rPr>
        <w:t xml:space="preserve"> על כל אזרח במדינה לכבד את חוקי המדינה, ולפעול על פיהם. לדוגמא, בחוקי המדינה קיים החוק האוסר על התחזות. יש לכבד את החוק ולא להתחזות לאדם אחר.</w:t>
      </w:r>
    </w:p>
    <w:p w:rsidR="002768CD" w:rsidRDefault="002768CD" w:rsidP="002768CD">
      <w:pPr>
        <w:pStyle w:val="ListParagraph"/>
        <w:bidi/>
        <w:rPr>
          <w:rtl/>
        </w:rPr>
      </w:pPr>
    </w:p>
    <w:p w:rsidR="002768CD" w:rsidRDefault="002768CD" w:rsidP="002768CD">
      <w:pPr>
        <w:pStyle w:val="ListParagraph"/>
        <w:bidi/>
        <w:rPr>
          <w:rtl/>
        </w:rPr>
      </w:pPr>
    </w:p>
    <w:p w:rsidR="002768CD" w:rsidRDefault="002768CD" w:rsidP="002768CD">
      <w:pPr>
        <w:pStyle w:val="ListParagraph"/>
        <w:bidi/>
        <w:rPr>
          <w:rFonts w:hint="cs"/>
          <w:rtl/>
        </w:rPr>
      </w:pPr>
    </w:p>
    <w:p w:rsidR="00AA04E5" w:rsidRDefault="00AA04E5" w:rsidP="002768CD">
      <w:pPr>
        <w:pStyle w:val="ListParagraph"/>
        <w:numPr>
          <w:ilvl w:val="0"/>
          <w:numId w:val="9"/>
        </w:numPr>
        <w:bidi/>
        <w:rPr>
          <w:rFonts w:hint="cs"/>
        </w:rPr>
      </w:pPr>
      <w:r>
        <w:rPr>
          <w:rFonts w:hint="cs"/>
          <w:rtl/>
        </w:rPr>
        <w:lastRenderedPageBreak/>
        <w:t>א.</w:t>
      </w:r>
    </w:p>
    <w:p w:rsidR="002768CD" w:rsidRDefault="002768CD" w:rsidP="00AA04E5">
      <w:pPr>
        <w:pStyle w:val="ListParagraph"/>
        <w:bidi/>
      </w:pPr>
      <w:r w:rsidRPr="00AA04E5">
        <w:rPr>
          <w:rFonts w:hint="cs"/>
          <w:b/>
          <w:bCs/>
          <w:rtl/>
        </w:rPr>
        <w:t>ציין :</w:t>
      </w:r>
      <w:r>
        <w:rPr>
          <w:rFonts w:hint="cs"/>
          <w:rtl/>
        </w:rPr>
        <w:t xml:space="preserve"> הזכות לפרטיות</w:t>
      </w:r>
    </w:p>
    <w:p w:rsidR="002768CD" w:rsidRDefault="002768CD" w:rsidP="002768CD">
      <w:pPr>
        <w:pStyle w:val="ListParagraph"/>
        <w:bidi/>
        <w:rPr>
          <w:rtl/>
        </w:rPr>
      </w:pPr>
      <w:r w:rsidRPr="00AA04E5">
        <w:rPr>
          <w:rFonts w:hint="cs"/>
          <w:b/>
          <w:bCs/>
          <w:rtl/>
        </w:rPr>
        <w:t>הצג :</w:t>
      </w:r>
      <w:r>
        <w:rPr>
          <w:rFonts w:hint="cs"/>
          <w:rtl/>
        </w:rPr>
        <w:t xml:space="preserve"> הזכות לפרטיות מקנה לנו את היכולת לבחור לאילו חלקים מאיתנו (הגוף, הבית, המחשבות, הרגשות, הסודות, והזהות) ניתנת גישה לאחרים, ולשלוט על ההיקף, האופן, ועיתוי השימוש באותם חלקים שבחרנו לחשוף.</w:t>
      </w:r>
    </w:p>
    <w:p w:rsidR="002768CD" w:rsidRDefault="002768CD" w:rsidP="00AA04E5">
      <w:pPr>
        <w:pStyle w:val="ListParagraph"/>
        <w:bidi/>
        <w:rPr>
          <w:rFonts w:hint="cs"/>
          <w:rtl/>
        </w:rPr>
      </w:pPr>
      <w:r w:rsidRPr="00AA04E5">
        <w:rPr>
          <w:rFonts w:hint="cs"/>
          <w:b/>
          <w:bCs/>
          <w:rtl/>
        </w:rPr>
        <w:t>הסבר :</w:t>
      </w:r>
      <w:r>
        <w:rPr>
          <w:rFonts w:hint="cs"/>
          <w:rtl/>
        </w:rPr>
        <w:t xml:space="preserve"> משפחת בגין ביקשה שתמונתו</w:t>
      </w:r>
      <w:r w:rsidR="00AA04E5">
        <w:rPr>
          <w:rFonts w:hint="cs"/>
          <w:rtl/>
        </w:rPr>
        <w:t xml:space="preserve"> של מנחם בגין</w:t>
      </w:r>
      <w:r>
        <w:rPr>
          <w:rFonts w:hint="cs"/>
          <w:rtl/>
        </w:rPr>
        <w:t xml:space="preserve"> לא תופיע על השטר מכיוון שהיה אדם פרטי וצנוע. </w:t>
      </w:r>
      <w:r w:rsidR="00AA04E5">
        <w:rPr>
          <w:rFonts w:hint="cs"/>
          <w:rtl/>
        </w:rPr>
        <w:t xml:space="preserve">בקשתה של </w:t>
      </w:r>
      <w:r>
        <w:rPr>
          <w:rFonts w:hint="cs"/>
          <w:rtl/>
        </w:rPr>
        <w:t>משפחת בגין</w:t>
      </w:r>
      <w:r w:rsidR="00AA04E5">
        <w:rPr>
          <w:rFonts w:hint="cs"/>
          <w:rtl/>
        </w:rPr>
        <w:t xml:space="preserve"> מבוססת על כך שלמנחם בגין יש את הזכות להחליט איזה חלק ממנו לחשוף לציבור, ובאיזה היקף. משפחתו, לאחר מותו, יכולה לבקש בשמו שלא תופיע תמונתו על השטר, כי בכך תיפגע פרטיותו.</w:t>
      </w:r>
    </w:p>
    <w:p w:rsidR="00AA04E5" w:rsidRDefault="00AA04E5" w:rsidP="00AA04E5">
      <w:pPr>
        <w:pStyle w:val="ListParagraph"/>
        <w:bidi/>
        <w:rPr>
          <w:rtl/>
        </w:rPr>
      </w:pPr>
    </w:p>
    <w:p w:rsidR="00AA04E5" w:rsidRDefault="00AA04E5" w:rsidP="00AA04E5">
      <w:pPr>
        <w:pStyle w:val="ListParagraph"/>
        <w:bidi/>
        <w:rPr>
          <w:rFonts w:hint="cs"/>
          <w:rtl/>
        </w:rPr>
      </w:pPr>
      <w:r>
        <w:rPr>
          <w:rFonts w:hint="cs"/>
          <w:rtl/>
        </w:rPr>
        <w:t xml:space="preserve">ב. </w:t>
      </w:r>
    </w:p>
    <w:p w:rsidR="00AA04E5" w:rsidRDefault="00AA04E5" w:rsidP="00B07B81">
      <w:pPr>
        <w:pStyle w:val="ListParagraph"/>
        <w:bidi/>
        <w:rPr>
          <w:rtl/>
        </w:rPr>
      </w:pPr>
      <w:r w:rsidRPr="00B07B81">
        <w:rPr>
          <w:rFonts w:hint="cs"/>
          <w:b/>
          <w:bCs/>
          <w:rtl/>
        </w:rPr>
        <w:t>ציין :</w:t>
      </w:r>
      <w:r>
        <w:rPr>
          <w:rFonts w:hint="cs"/>
          <w:rtl/>
        </w:rPr>
        <w:t xml:space="preserve"> </w:t>
      </w:r>
      <w:r w:rsidR="00B07B81">
        <w:rPr>
          <w:rFonts w:hint="cs"/>
          <w:rtl/>
        </w:rPr>
        <w:t>הזכות לשוויון (מהותי).</w:t>
      </w:r>
    </w:p>
    <w:p w:rsidR="00AA04E5" w:rsidRDefault="00AA04E5" w:rsidP="00B07B81">
      <w:pPr>
        <w:pStyle w:val="ListParagraph"/>
        <w:bidi/>
        <w:rPr>
          <w:rtl/>
        </w:rPr>
      </w:pPr>
      <w:r w:rsidRPr="00B07B81">
        <w:rPr>
          <w:rFonts w:hint="cs"/>
          <w:b/>
          <w:bCs/>
          <w:rtl/>
        </w:rPr>
        <w:t>הצג :</w:t>
      </w:r>
      <w:r>
        <w:rPr>
          <w:rFonts w:hint="cs"/>
          <w:rtl/>
        </w:rPr>
        <w:t xml:space="preserve"> </w:t>
      </w:r>
      <w:r w:rsidR="00B07B81">
        <w:rPr>
          <w:rFonts w:hint="cs"/>
          <w:rtl/>
        </w:rPr>
        <w:t>הזכות לשוויון מתיחסת לכך שלכל האזרחים במדינה דמוקרטית קיים שוויון במעמדם, ערכם וזכויותיהם, וכל אדם שווה לזולתו ללא הבדלי מוצא, דת, גזע, מין, גיל, השקפת עולם, השתייכות פוליטית והשתייכות לקבוצה חברתית.</w:t>
      </w:r>
    </w:p>
    <w:p w:rsidR="00953B55" w:rsidRDefault="00AA04E5" w:rsidP="00953B55">
      <w:pPr>
        <w:pStyle w:val="ListParagraph"/>
        <w:bidi/>
        <w:rPr>
          <w:rtl/>
        </w:rPr>
      </w:pPr>
      <w:r w:rsidRPr="00B07B81">
        <w:rPr>
          <w:rFonts w:hint="cs"/>
          <w:b/>
          <w:bCs/>
          <w:rtl/>
        </w:rPr>
        <w:t>הסבר :</w:t>
      </w:r>
      <w:r>
        <w:rPr>
          <w:rFonts w:hint="cs"/>
          <w:rtl/>
        </w:rPr>
        <w:t xml:space="preserve"> </w:t>
      </w:r>
      <w:r w:rsidR="00B07B81">
        <w:rPr>
          <w:rFonts w:hint="cs"/>
          <w:rtl/>
        </w:rPr>
        <w:t xml:space="preserve">בנק ישראל הודיע שבעוד כשנתיים תונפק סדרת שטרות חדשה, בה יופיעו דיוקנות מנהיגי המדינה </w:t>
      </w:r>
      <w:r w:rsidR="00B07B81">
        <w:rPr>
          <w:rtl/>
        </w:rPr>
        <w:t>–</w:t>
      </w:r>
      <w:r w:rsidR="00B07B81">
        <w:rPr>
          <w:rFonts w:hint="cs"/>
          <w:rtl/>
        </w:rPr>
        <w:t xml:space="preserve"> הרצל, רבין, בגין, ובן גוריון. </w:t>
      </w:r>
      <w:r w:rsidR="00953B55">
        <w:rPr>
          <w:rFonts w:hint="cs"/>
          <w:rtl/>
        </w:rPr>
        <w:t>לטענת ארגוני הנשים ואנשי הרוח, רוב האוכלוסייה לא תקבל ייצוג בסדרת השטרות החדשה. תתקבל התחושה כי רק גברים פוליטיקאים תרמו למדינה ולחברה הישראלית. הזכות שנפגעה לדעת ארגוני הנשים ואנשי הרוח היא הזכות לשוויון, שכן לא ייתכן שבשטרות החדשות לא יהיה יצוג לכל כך הרבה אוכלוסיות שונות במדינה : נשים, בני מיעוטים, אנשי רוח (או כל אדם שאינו פוליטיקאי).</w:t>
      </w:r>
    </w:p>
    <w:p w:rsidR="00953B55" w:rsidRDefault="00953B55" w:rsidP="00953B55">
      <w:pPr>
        <w:bidi/>
        <w:rPr>
          <w:rtl/>
        </w:rPr>
      </w:pPr>
    </w:p>
    <w:p w:rsidR="00953B55" w:rsidRDefault="006C5CA9" w:rsidP="00953B55">
      <w:pPr>
        <w:pStyle w:val="ListParagraph"/>
        <w:numPr>
          <w:ilvl w:val="0"/>
          <w:numId w:val="9"/>
        </w:numPr>
        <w:bidi/>
        <w:rPr>
          <w:rFonts w:hint="cs"/>
        </w:rPr>
      </w:pPr>
      <w:r>
        <w:rPr>
          <w:rFonts w:hint="cs"/>
          <w:rtl/>
        </w:rPr>
        <w:t>א.</w:t>
      </w:r>
    </w:p>
    <w:p w:rsidR="006C5CA9" w:rsidRDefault="006C5CA9" w:rsidP="006C5CA9">
      <w:pPr>
        <w:pStyle w:val="ListParagraph"/>
        <w:bidi/>
        <w:rPr>
          <w:rFonts w:hint="cs"/>
          <w:rtl/>
        </w:rPr>
      </w:pPr>
      <w:r w:rsidRPr="006C5CA9">
        <w:rPr>
          <w:rFonts w:hint="cs"/>
          <w:b/>
          <w:bCs/>
          <w:rtl/>
        </w:rPr>
        <w:t>ציין :</w:t>
      </w:r>
      <w:r>
        <w:rPr>
          <w:rFonts w:hint="cs"/>
          <w:rtl/>
        </w:rPr>
        <w:t xml:space="preserve"> הזכות לשם טוב</w:t>
      </w:r>
    </w:p>
    <w:p w:rsidR="006C5CA9" w:rsidRDefault="006C5CA9" w:rsidP="006C5CA9">
      <w:pPr>
        <w:pStyle w:val="ListParagraph"/>
        <w:bidi/>
        <w:rPr>
          <w:rFonts w:hint="cs"/>
          <w:rtl/>
        </w:rPr>
      </w:pPr>
      <w:r w:rsidRPr="006C5CA9">
        <w:rPr>
          <w:rFonts w:hint="cs"/>
          <w:b/>
          <w:bCs/>
          <w:rtl/>
        </w:rPr>
        <w:t>הצג :</w:t>
      </w:r>
      <w:r>
        <w:rPr>
          <w:rFonts w:hint="cs"/>
          <w:rtl/>
        </w:rPr>
        <w:t xml:space="preserve"> הזכות לשם טב היא זכותו של אדם ששמו לא יוכפש, לא יוטח בו עלבונות ודברי גנאי.</w:t>
      </w:r>
    </w:p>
    <w:p w:rsidR="006C5CA9" w:rsidRDefault="006C5CA9" w:rsidP="006C5CA9">
      <w:pPr>
        <w:pStyle w:val="ListParagraph"/>
        <w:bidi/>
        <w:rPr>
          <w:rtl/>
        </w:rPr>
      </w:pPr>
      <w:r w:rsidRPr="006C5CA9">
        <w:rPr>
          <w:rFonts w:hint="cs"/>
          <w:b/>
          <w:bCs/>
          <w:rtl/>
        </w:rPr>
        <w:t>הסבר :</w:t>
      </w:r>
      <w:r>
        <w:rPr>
          <w:rFonts w:hint="cs"/>
          <w:rtl/>
        </w:rPr>
        <w:t xml:space="preserve"> בתכנית התחקירים בערוץ 2 נעשתה כתבת תחקיר אודות קצין כמי שביצע וידאו הריגה בילדה פלסטינית ברצועת עזה. התכנית הוצגה בצורה מגמתית והוצגה גרסה חד צדדית. התחקיר הצה"לי זיכה את הקצין. זכותו של הקצין לשם טוב נפגעה כיוון שהוא זוכה מהאשמה, למרות זאת, הוטחו בו האשמות, שמו הוכפש והוא הועלב בתוכנית, וללא אף הזדמנות להגן על שמו הטוב.</w:t>
      </w:r>
    </w:p>
    <w:p w:rsidR="006C5CA9" w:rsidRDefault="006C5CA9" w:rsidP="006C5CA9">
      <w:pPr>
        <w:pStyle w:val="ListParagraph"/>
        <w:bidi/>
        <w:rPr>
          <w:rtl/>
        </w:rPr>
      </w:pPr>
    </w:p>
    <w:p w:rsidR="006C5CA9" w:rsidRDefault="006C5CA9" w:rsidP="006C5CA9">
      <w:pPr>
        <w:pStyle w:val="ListParagraph"/>
        <w:bidi/>
        <w:rPr>
          <w:rFonts w:hint="cs"/>
          <w:rtl/>
        </w:rPr>
      </w:pPr>
      <w:r>
        <w:rPr>
          <w:rFonts w:hint="cs"/>
          <w:rtl/>
        </w:rPr>
        <w:t>ב.</w:t>
      </w:r>
    </w:p>
    <w:p w:rsidR="00DA7E60" w:rsidRPr="00DA7E60" w:rsidRDefault="006C5CA9" w:rsidP="00DA7E60">
      <w:pPr>
        <w:pStyle w:val="ListParagraph"/>
        <w:bidi/>
        <w:rPr>
          <w:rtl/>
        </w:rPr>
      </w:pPr>
      <w:r w:rsidRPr="006C5CA9">
        <w:rPr>
          <w:rFonts w:hint="cs"/>
          <w:b/>
          <w:bCs/>
          <w:rtl/>
        </w:rPr>
        <w:t>ציין :</w:t>
      </w:r>
      <w:r w:rsidR="00DA7E60">
        <w:rPr>
          <w:rFonts w:hint="cs"/>
          <w:rtl/>
        </w:rPr>
        <w:t xml:space="preserve"> הזכות לחופש הביטוי</w:t>
      </w:r>
    </w:p>
    <w:p w:rsidR="006C5CA9" w:rsidRPr="00DA7E60" w:rsidRDefault="006C5CA9" w:rsidP="006C5CA9">
      <w:pPr>
        <w:pStyle w:val="ListParagraph"/>
        <w:bidi/>
        <w:rPr>
          <w:rtl/>
        </w:rPr>
      </w:pPr>
      <w:r w:rsidRPr="006C5CA9">
        <w:rPr>
          <w:rFonts w:hint="cs"/>
          <w:b/>
          <w:bCs/>
          <w:rtl/>
        </w:rPr>
        <w:t xml:space="preserve">הצג : </w:t>
      </w:r>
      <w:r w:rsidR="00DA7E60">
        <w:rPr>
          <w:rFonts w:hint="cs"/>
          <w:rtl/>
        </w:rPr>
        <w:t>חופש הביטוי הוא הזכות לשמוע ולהשמיע. הזכות מאפשרת ליחיד לגבש דעות והשקפות במגוון תחומים ולהביען באמצעות כתיבה, דיבור, מוזיקה, אמנות ועוד.</w:t>
      </w:r>
    </w:p>
    <w:p w:rsidR="006C5CA9" w:rsidRPr="00DA7E60" w:rsidRDefault="006C5CA9" w:rsidP="00954EA6">
      <w:pPr>
        <w:pStyle w:val="ListParagraph"/>
        <w:bidi/>
        <w:rPr>
          <w:rtl/>
        </w:rPr>
      </w:pPr>
      <w:r w:rsidRPr="006C5CA9">
        <w:rPr>
          <w:rFonts w:hint="cs"/>
          <w:b/>
          <w:bCs/>
          <w:rtl/>
        </w:rPr>
        <w:t>הסבר :</w:t>
      </w:r>
      <w:r w:rsidR="00DA7E60">
        <w:rPr>
          <w:rFonts w:hint="cs"/>
          <w:b/>
          <w:bCs/>
          <w:rtl/>
        </w:rPr>
        <w:t xml:space="preserve"> </w:t>
      </w:r>
      <w:r w:rsidR="00DA7E60">
        <w:rPr>
          <w:rFonts w:hint="cs"/>
          <w:rtl/>
        </w:rPr>
        <w:t xml:space="preserve">בערוץ 2 הופיע תכנית תחקירים בה הוצגה כתבה על קצין בצה"ל שלטענת הכתבה ביצע וידוא הריגה בילדה פלסטינית ברצועת עזה. </w:t>
      </w:r>
      <w:r w:rsidR="00954EA6">
        <w:rPr>
          <w:rFonts w:hint="cs"/>
          <w:rtl/>
        </w:rPr>
        <w:t xml:space="preserve">הקצין, שזוכה בתחקיר הצה"לי, תבע בבית המשפט את מגישת התכנית, על כך שהכתבה הציגה אותו באור שלילי, הציגה גרסה חד צדדית של האירוע ונערכה בצורה מגמתית. מפיקי התכנית השתמשו בזכות לחופש הביטוי כדי להצדיק את שידור הכתבה </w:t>
      </w:r>
      <w:r w:rsidR="00954EA6">
        <w:rPr>
          <w:rtl/>
        </w:rPr>
        <w:t>–</w:t>
      </w:r>
      <w:r w:rsidR="00954EA6">
        <w:rPr>
          <w:rFonts w:hint="cs"/>
          <w:rtl/>
        </w:rPr>
        <w:t xml:space="preserve"> זו זכותם להשמיע את דעתם והשקפתם</w:t>
      </w:r>
      <w:r w:rsidR="005C068B">
        <w:rPr>
          <w:rFonts w:hint="cs"/>
          <w:rtl/>
        </w:rPr>
        <w:t xml:space="preserve"> בכל נושא, ואם דעתם הייתה שהתחקיר הצה"לי שזיכה את הקצין היה שקרי, והתבסס על עדויות שקר של חיילים שחששו מהקצין, מותר להם להביע את דעתם מכיוון שזה בגדר זכותם לחופש הביטוי.</w:t>
      </w:r>
      <w:r w:rsidR="00954EA6">
        <w:rPr>
          <w:rFonts w:hint="cs"/>
          <w:rtl/>
        </w:rPr>
        <w:t xml:space="preserve"> </w:t>
      </w:r>
    </w:p>
    <w:p w:rsidR="00AA04E5" w:rsidRPr="00C86B94" w:rsidRDefault="00AA04E5" w:rsidP="00AA04E5">
      <w:pPr>
        <w:pStyle w:val="ListParagraph"/>
        <w:bidi/>
        <w:rPr>
          <w:rtl/>
        </w:rPr>
      </w:pPr>
    </w:p>
    <w:sectPr w:rsidR="00AA04E5" w:rsidRPr="00C86B94" w:rsidSect="00DC71ED">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75045"/>
    <w:multiLevelType w:val="hybridMultilevel"/>
    <w:tmpl w:val="7E6C6336"/>
    <w:lvl w:ilvl="0" w:tplc="29D6662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00739"/>
    <w:multiLevelType w:val="hybridMultilevel"/>
    <w:tmpl w:val="49DA9CB2"/>
    <w:lvl w:ilvl="0" w:tplc="A6626D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4C648B"/>
    <w:multiLevelType w:val="hybridMultilevel"/>
    <w:tmpl w:val="A348861C"/>
    <w:lvl w:ilvl="0" w:tplc="A2D8C9A6">
      <w:start w:val="4"/>
      <w:numFmt w:val="bullet"/>
      <w:lvlText w:val=""/>
      <w:lvlJc w:val="left"/>
      <w:pPr>
        <w:ind w:left="420" w:hanging="360"/>
      </w:pPr>
      <w:rPr>
        <w:rFonts w:ascii="Symbol" w:eastAsiaTheme="minorHAnsi" w:hAnsi="Symbol"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3B52683E"/>
    <w:multiLevelType w:val="hybridMultilevel"/>
    <w:tmpl w:val="D4F8C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4A3582"/>
    <w:multiLevelType w:val="hybridMultilevel"/>
    <w:tmpl w:val="89564084"/>
    <w:lvl w:ilvl="0" w:tplc="02443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3D1E0D"/>
    <w:multiLevelType w:val="hybridMultilevel"/>
    <w:tmpl w:val="C79EB234"/>
    <w:lvl w:ilvl="0" w:tplc="6C1AA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926789"/>
    <w:multiLevelType w:val="hybridMultilevel"/>
    <w:tmpl w:val="8BD863DC"/>
    <w:lvl w:ilvl="0" w:tplc="4D460B02">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044125"/>
    <w:multiLevelType w:val="hybridMultilevel"/>
    <w:tmpl w:val="AEBA849E"/>
    <w:lvl w:ilvl="0" w:tplc="78387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D34970"/>
    <w:multiLevelType w:val="hybridMultilevel"/>
    <w:tmpl w:val="2F2C3A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1"/>
  </w:num>
  <w:num w:numId="5">
    <w:abstractNumId w:val="7"/>
  </w:num>
  <w:num w:numId="6">
    <w:abstractNumId w:val="4"/>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27C"/>
    <w:rsid w:val="00192400"/>
    <w:rsid w:val="001C7521"/>
    <w:rsid w:val="001E0C9B"/>
    <w:rsid w:val="00252C96"/>
    <w:rsid w:val="002768CD"/>
    <w:rsid w:val="002B0E86"/>
    <w:rsid w:val="004A302F"/>
    <w:rsid w:val="005B45EA"/>
    <w:rsid w:val="005C068B"/>
    <w:rsid w:val="00644D71"/>
    <w:rsid w:val="006C5CA9"/>
    <w:rsid w:val="007E39A5"/>
    <w:rsid w:val="00953B55"/>
    <w:rsid w:val="00954EA6"/>
    <w:rsid w:val="00AA04E5"/>
    <w:rsid w:val="00AF5806"/>
    <w:rsid w:val="00B07B81"/>
    <w:rsid w:val="00B41746"/>
    <w:rsid w:val="00B8727C"/>
    <w:rsid w:val="00C41CB8"/>
    <w:rsid w:val="00C86B94"/>
    <w:rsid w:val="00D7298A"/>
    <w:rsid w:val="00D76328"/>
    <w:rsid w:val="00DA7E60"/>
    <w:rsid w:val="00DC68F4"/>
    <w:rsid w:val="00DC71ED"/>
    <w:rsid w:val="00FF7F4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28783-0DED-4847-9346-BD53E955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708</Words>
  <Characters>4039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2013-08-22T12:44:00Z</dcterms:created>
  <dcterms:modified xsi:type="dcterms:W3CDTF">2013-09-06T10:00:00Z</dcterms:modified>
</cp:coreProperties>
</file>