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429" w:rsidRPr="00BC0429" w:rsidRDefault="00BC0429">
      <w:pPr>
        <w:rPr>
          <w:rFonts w:ascii="Tahoma" w:hAnsi="Tahoma" w:cs="Tahoma"/>
          <w:sz w:val="24"/>
          <w:szCs w:val="24"/>
          <w:shd w:val="clear" w:color="auto" w:fill="FFFFFF"/>
        </w:rPr>
      </w:pPr>
    </w:p>
    <w:p w:rsidR="00BC0429" w:rsidRDefault="004A2001" w:rsidP="00BC0429">
      <w:pPr>
        <w:numPr>
          <w:ilvl w:val="0"/>
          <w:numId w:val="1"/>
        </w:numPr>
        <w:shd w:val="clear" w:color="auto" w:fill="FFFFFF"/>
        <w:spacing w:before="240" w:after="240" w:line="240" w:lineRule="auto"/>
        <w:ind w:left="480" w:right="240"/>
        <w:rPr>
          <w:rFonts w:ascii="Tahoma" w:eastAsia="Times New Roman" w:hAnsi="Tahoma" w:cs="Tahoma"/>
          <w:sz w:val="24"/>
          <w:szCs w:val="24"/>
          <w:lang w:eastAsia="pt-BR"/>
        </w:rPr>
      </w:pPr>
      <w:hyperlink r:id="rId5" w:history="1">
        <w:r w:rsidR="00BC0429" w:rsidRPr="00BC0429">
          <w:rPr>
            <w:rFonts w:ascii="Tahoma" w:eastAsia="Times New Roman" w:hAnsi="Tahoma" w:cs="Tahoma"/>
            <w:sz w:val="24"/>
            <w:szCs w:val="24"/>
            <w:lang w:eastAsia="pt-BR"/>
          </w:rPr>
          <w:t>Comissão Interamericana de Direitos Humanos</w:t>
        </w:r>
      </w:hyperlink>
    </w:p>
    <w:p w:rsidR="00BC0429" w:rsidRPr="00BC0429" w:rsidRDefault="00BC0429" w:rsidP="00BC0429">
      <w:pPr>
        <w:pStyle w:val="NormalWeb"/>
        <w:shd w:val="clear" w:color="auto" w:fill="FFFFFF"/>
        <w:spacing w:before="192" w:beforeAutospacing="0" w:after="192" w:afterAutospacing="0"/>
        <w:ind w:left="720" w:right="144"/>
        <w:rPr>
          <w:rFonts w:ascii="Tahoma" w:hAnsi="Tahoma" w:cs="Tahoma"/>
          <w:sz w:val="20"/>
          <w:szCs w:val="20"/>
        </w:rPr>
      </w:pPr>
      <w:r w:rsidRPr="00BC0429">
        <w:rPr>
          <w:rFonts w:ascii="Tahoma" w:hAnsi="Tahoma" w:cs="Tahoma"/>
          <w:sz w:val="20"/>
          <w:szCs w:val="20"/>
        </w:rPr>
        <w:t>A</w:t>
      </w:r>
      <w:hyperlink r:id="rId6" w:history="1">
        <w:r w:rsidRPr="00BC0429">
          <w:rPr>
            <w:rStyle w:val="apple-converted-space"/>
            <w:rFonts w:ascii="Tahoma" w:hAnsi="Tahoma" w:cs="Tahoma"/>
            <w:sz w:val="20"/>
            <w:szCs w:val="20"/>
          </w:rPr>
          <w:t> </w:t>
        </w:r>
        <w:r w:rsidRPr="00BC0429">
          <w:rPr>
            <w:rStyle w:val="Hyperlink"/>
            <w:rFonts w:ascii="Tahoma" w:hAnsi="Tahoma" w:cs="Tahoma"/>
            <w:color w:val="auto"/>
            <w:sz w:val="20"/>
            <w:szCs w:val="20"/>
            <w:u w:val="none"/>
          </w:rPr>
          <w:t>Comissão Interamericana de Direitos Humanos (CIDH)</w:t>
        </w:r>
      </w:hyperlink>
      <w:r w:rsidRPr="00BC0429">
        <w:rPr>
          <w:rStyle w:val="apple-converted-space"/>
          <w:rFonts w:ascii="Tahoma" w:hAnsi="Tahoma" w:cs="Tahoma"/>
          <w:sz w:val="20"/>
          <w:szCs w:val="20"/>
        </w:rPr>
        <w:t> </w:t>
      </w:r>
      <w:r w:rsidRPr="00BC0429">
        <w:rPr>
          <w:rFonts w:ascii="Tahoma" w:hAnsi="Tahoma" w:cs="Tahoma"/>
          <w:sz w:val="20"/>
          <w:szCs w:val="20"/>
        </w:rPr>
        <w:t>foi criada por resolução da Quinta Reunião de Consulta dos Ministros das Relações Exteriores em Santiago, Chile, em 1959. A CIDH foi formalmente instalada em 1960, quando o Conselho da Organização aprovou seu Estatuto. O Regulamento da Comissão, aprovado em 1980, foi modificado em várias oportunidades, a última delas em 2013.</w:t>
      </w:r>
    </w:p>
    <w:p w:rsidR="00BC0429" w:rsidRPr="00BC0429" w:rsidRDefault="00BC0429" w:rsidP="00BC0429">
      <w:pPr>
        <w:pStyle w:val="NormalWeb"/>
        <w:shd w:val="clear" w:color="auto" w:fill="FFFFFF"/>
        <w:spacing w:before="192" w:beforeAutospacing="0" w:after="192" w:afterAutospacing="0"/>
        <w:ind w:left="720" w:right="144"/>
        <w:rPr>
          <w:rFonts w:ascii="Tahoma" w:hAnsi="Tahoma" w:cs="Tahoma"/>
          <w:sz w:val="20"/>
          <w:szCs w:val="20"/>
        </w:rPr>
      </w:pPr>
      <w:r w:rsidRPr="00BC0429">
        <w:rPr>
          <w:rFonts w:ascii="Tahoma" w:hAnsi="Tahoma" w:cs="Tahoma"/>
          <w:sz w:val="20"/>
          <w:szCs w:val="20"/>
        </w:rPr>
        <w:t xml:space="preserve">A Comissão Interamericana de Direitos Humanos é um dos </w:t>
      </w:r>
      <w:r w:rsidR="006256CF">
        <w:rPr>
          <w:rFonts w:ascii="Tahoma" w:hAnsi="Tahoma" w:cs="Tahoma"/>
          <w:sz w:val="20"/>
          <w:szCs w:val="20"/>
        </w:rPr>
        <w:t>órgãos responsável</w:t>
      </w:r>
      <w:r w:rsidRPr="00BC0429">
        <w:rPr>
          <w:rFonts w:ascii="Tahoma" w:hAnsi="Tahoma" w:cs="Tahoma"/>
          <w:sz w:val="20"/>
          <w:szCs w:val="20"/>
        </w:rPr>
        <w:t xml:space="preserve"> pela promoção e pela proteção dos direitos humanos. É constituída por sete membros, eleitos pela</w:t>
      </w:r>
      <w:r>
        <w:rPr>
          <w:rFonts w:ascii="Tahoma" w:hAnsi="Tahoma" w:cs="Tahoma"/>
          <w:sz w:val="20"/>
          <w:szCs w:val="20"/>
        </w:rPr>
        <w:t xml:space="preserve"> </w:t>
      </w:r>
      <w:hyperlink r:id="rId7" w:history="1">
        <w:r w:rsidRPr="00BC0429">
          <w:rPr>
            <w:rStyle w:val="Hyperlink"/>
            <w:rFonts w:ascii="Tahoma" w:hAnsi="Tahoma" w:cs="Tahoma"/>
            <w:color w:val="auto"/>
            <w:sz w:val="20"/>
            <w:szCs w:val="20"/>
            <w:u w:val="none"/>
          </w:rPr>
          <w:t>Assembléia Geral</w:t>
        </w:r>
      </w:hyperlink>
      <w:r w:rsidRPr="00BC0429">
        <w:rPr>
          <w:rFonts w:ascii="Tahoma" w:hAnsi="Tahoma" w:cs="Tahoma"/>
          <w:sz w:val="20"/>
          <w:szCs w:val="20"/>
        </w:rPr>
        <w:t>, que exercem suas funções em caráter individual</w:t>
      </w:r>
      <w:r w:rsidR="006256CF">
        <w:rPr>
          <w:rFonts w:ascii="Tahoma" w:hAnsi="Tahoma" w:cs="Tahoma"/>
          <w:sz w:val="20"/>
          <w:szCs w:val="20"/>
        </w:rPr>
        <w:t>.</w:t>
      </w:r>
    </w:p>
    <w:p w:rsidR="00BC0429" w:rsidRPr="00BC0429" w:rsidRDefault="00BC0429" w:rsidP="00BC0429">
      <w:pPr>
        <w:shd w:val="clear" w:color="auto" w:fill="FFFFFF"/>
        <w:spacing w:before="240" w:after="240" w:line="240" w:lineRule="auto"/>
        <w:ind w:left="480" w:right="240"/>
        <w:rPr>
          <w:rFonts w:ascii="Tahoma" w:eastAsia="Times New Roman" w:hAnsi="Tahoma" w:cs="Tahoma"/>
          <w:sz w:val="24"/>
          <w:szCs w:val="24"/>
          <w:lang w:eastAsia="pt-BR"/>
        </w:rPr>
      </w:pPr>
    </w:p>
    <w:p w:rsidR="00BC0429" w:rsidRPr="00BC0429" w:rsidRDefault="004A2001" w:rsidP="00BC0429">
      <w:pPr>
        <w:numPr>
          <w:ilvl w:val="0"/>
          <w:numId w:val="1"/>
        </w:numPr>
        <w:shd w:val="clear" w:color="auto" w:fill="FFFFFF"/>
        <w:spacing w:before="240" w:after="240" w:line="240" w:lineRule="auto"/>
        <w:ind w:left="480" w:right="240"/>
        <w:rPr>
          <w:rFonts w:ascii="Tahoma" w:eastAsia="Times New Roman" w:hAnsi="Tahoma" w:cs="Tahoma"/>
          <w:sz w:val="24"/>
          <w:szCs w:val="24"/>
          <w:lang w:eastAsia="pt-BR"/>
        </w:rPr>
      </w:pPr>
      <w:hyperlink r:id="rId8" w:history="1">
        <w:r w:rsidR="00BC0429" w:rsidRPr="00BC0429">
          <w:rPr>
            <w:rFonts w:ascii="Tahoma" w:eastAsia="Times New Roman" w:hAnsi="Tahoma" w:cs="Tahoma"/>
            <w:sz w:val="24"/>
            <w:szCs w:val="24"/>
            <w:lang w:eastAsia="pt-BR"/>
          </w:rPr>
          <w:t>Secretaria Geral</w:t>
        </w:r>
      </w:hyperlink>
    </w:p>
    <w:p w:rsidR="00BC0429" w:rsidRPr="00BC0429" w:rsidRDefault="00BC0429" w:rsidP="00BC0429">
      <w:pPr>
        <w:shd w:val="clear" w:color="auto" w:fill="FFFFFF"/>
        <w:spacing w:before="192" w:after="192" w:line="240" w:lineRule="auto"/>
        <w:ind w:left="120" w:right="144"/>
        <w:rPr>
          <w:rFonts w:ascii="Tahoma" w:eastAsia="Times New Roman" w:hAnsi="Tahoma" w:cs="Tahoma"/>
          <w:sz w:val="20"/>
          <w:szCs w:val="20"/>
          <w:lang w:eastAsia="pt-BR"/>
        </w:rPr>
      </w:pPr>
      <w:r w:rsidRPr="00BC0429">
        <w:rPr>
          <w:rFonts w:ascii="Tahoma" w:eastAsia="Times New Roman" w:hAnsi="Tahoma" w:cs="Tahoma"/>
          <w:sz w:val="20"/>
          <w:szCs w:val="20"/>
          <w:lang w:eastAsia="pt-BR"/>
        </w:rPr>
        <w:t xml:space="preserve">A Secretaria Geral é o órgão central e permanente da Organização dos Estados Americanos. Exercerá as funções </w:t>
      </w:r>
      <w:r w:rsidR="006256CF">
        <w:rPr>
          <w:rFonts w:ascii="Tahoma" w:eastAsia="Times New Roman" w:hAnsi="Tahoma" w:cs="Tahoma"/>
          <w:sz w:val="20"/>
          <w:szCs w:val="20"/>
          <w:lang w:eastAsia="pt-BR"/>
        </w:rPr>
        <w:t xml:space="preserve">que </w:t>
      </w:r>
      <w:r w:rsidRPr="00BC0429">
        <w:rPr>
          <w:rFonts w:ascii="Tahoma" w:eastAsia="Times New Roman" w:hAnsi="Tahoma" w:cs="Tahoma"/>
          <w:sz w:val="20"/>
          <w:szCs w:val="20"/>
          <w:lang w:eastAsia="pt-BR"/>
        </w:rPr>
        <w:t>a</w:t>
      </w:r>
      <w:r w:rsidRPr="00BC0429">
        <w:rPr>
          <w:rFonts w:ascii="Tahoma" w:eastAsia="Times New Roman" w:hAnsi="Tahoma" w:cs="Tahoma"/>
          <w:sz w:val="20"/>
          <w:lang w:eastAsia="pt-BR"/>
        </w:rPr>
        <w:t> </w:t>
      </w:r>
      <w:hyperlink r:id="rId9" w:history="1">
        <w:r w:rsidRPr="00BC0429">
          <w:rPr>
            <w:rFonts w:ascii="Tahoma" w:eastAsia="Times New Roman" w:hAnsi="Tahoma" w:cs="Tahoma"/>
            <w:sz w:val="20"/>
            <w:lang w:eastAsia="pt-BR"/>
          </w:rPr>
          <w:t>Carta</w:t>
        </w:r>
      </w:hyperlink>
      <w:r w:rsidR="006256CF">
        <w:t xml:space="preserve"> atribuir</w:t>
      </w:r>
      <w:r w:rsidR="002E7D7D">
        <w:rPr>
          <w:rFonts w:ascii="Tahoma" w:eastAsia="Times New Roman" w:hAnsi="Tahoma" w:cs="Tahoma"/>
          <w:sz w:val="20"/>
          <w:szCs w:val="20"/>
          <w:lang w:eastAsia="pt-BR"/>
        </w:rPr>
        <w:t xml:space="preserve"> </w:t>
      </w:r>
      <w:r w:rsidRPr="00BC0429">
        <w:rPr>
          <w:rFonts w:ascii="Tahoma" w:eastAsia="Times New Roman" w:hAnsi="Tahoma" w:cs="Tahoma"/>
          <w:sz w:val="20"/>
          <w:szCs w:val="20"/>
          <w:lang w:eastAsia="pt-BR"/>
        </w:rPr>
        <w:t>e cumprirá os encargos de que for incumbida pela Assembléia Geral, pela</w:t>
      </w:r>
      <w:r>
        <w:rPr>
          <w:rFonts w:ascii="Tahoma" w:eastAsia="Times New Roman" w:hAnsi="Tahoma" w:cs="Tahoma"/>
          <w:sz w:val="20"/>
          <w:szCs w:val="20"/>
          <w:lang w:eastAsia="pt-BR"/>
        </w:rPr>
        <w:t xml:space="preserve"> </w:t>
      </w:r>
      <w:hyperlink r:id="rId10" w:history="1">
        <w:r w:rsidRPr="00BC0429">
          <w:rPr>
            <w:rFonts w:ascii="Tahoma" w:eastAsia="Times New Roman" w:hAnsi="Tahoma" w:cs="Tahoma"/>
            <w:sz w:val="20"/>
            <w:lang w:eastAsia="pt-BR"/>
          </w:rPr>
          <w:t>Reunião de Consulta dos Ministros das Relações Exteriores e pelos Conselhos</w:t>
        </w:r>
      </w:hyperlink>
      <w:r w:rsidRPr="00BC0429">
        <w:rPr>
          <w:rFonts w:ascii="Tahoma" w:eastAsia="Times New Roman" w:hAnsi="Tahoma" w:cs="Tahoma"/>
          <w:sz w:val="20"/>
          <w:szCs w:val="20"/>
          <w:lang w:eastAsia="pt-BR"/>
        </w:rPr>
        <w:t>.</w:t>
      </w:r>
    </w:p>
    <w:p w:rsidR="00BC0429" w:rsidRPr="00BC0429" w:rsidRDefault="00BC0429" w:rsidP="00BC0429">
      <w:pPr>
        <w:shd w:val="clear" w:color="auto" w:fill="FFFFFF"/>
        <w:spacing w:before="192" w:after="192" w:line="240" w:lineRule="auto"/>
        <w:ind w:left="120" w:right="144"/>
        <w:rPr>
          <w:rFonts w:ascii="Tahoma" w:eastAsia="Times New Roman" w:hAnsi="Tahoma" w:cs="Tahoma"/>
          <w:sz w:val="20"/>
          <w:szCs w:val="20"/>
          <w:lang w:eastAsia="pt-BR"/>
        </w:rPr>
      </w:pPr>
      <w:r w:rsidRPr="00BC0429">
        <w:rPr>
          <w:rFonts w:ascii="Tahoma" w:eastAsia="Times New Roman" w:hAnsi="Tahoma" w:cs="Tahoma"/>
          <w:sz w:val="20"/>
          <w:szCs w:val="20"/>
          <w:lang w:eastAsia="pt-BR"/>
        </w:rPr>
        <w:t>A Secretaria Geral desempenha também as seguintes funções:</w:t>
      </w:r>
    </w:p>
    <w:p w:rsidR="00BC0429" w:rsidRPr="00BC0429" w:rsidRDefault="00BC0429" w:rsidP="00BC0429">
      <w:pPr>
        <w:numPr>
          <w:ilvl w:val="0"/>
          <w:numId w:val="2"/>
        </w:numPr>
        <w:shd w:val="clear" w:color="auto" w:fill="FFFFFF"/>
        <w:spacing w:before="240" w:after="240" w:line="240" w:lineRule="auto"/>
        <w:rPr>
          <w:rFonts w:ascii="Tahoma" w:eastAsia="Times New Roman" w:hAnsi="Tahoma" w:cs="Tahoma"/>
          <w:sz w:val="20"/>
          <w:szCs w:val="20"/>
          <w:lang w:eastAsia="pt-BR"/>
        </w:rPr>
      </w:pPr>
      <w:r w:rsidRPr="00BC0429">
        <w:rPr>
          <w:rFonts w:ascii="Tahoma" w:eastAsia="Times New Roman" w:hAnsi="Tahoma" w:cs="Tahoma"/>
          <w:sz w:val="20"/>
          <w:szCs w:val="20"/>
          <w:lang w:eastAsia="pt-BR"/>
        </w:rPr>
        <w:t xml:space="preserve">Encaminhar ex </w:t>
      </w:r>
      <w:proofErr w:type="spellStart"/>
      <w:r w:rsidRPr="00BC0429">
        <w:rPr>
          <w:rFonts w:ascii="Tahoma" w:eastAsia="Times New Roman" w:hAnsi="Tahoma" w:cs="Tahoma"/>
          <w:sz w:val="20"/>
          <w:szCs w:val="20"/>
          <w:lang w:eastAsia="pt-BR"/>
        </w:rPr>
        <w:t>officio</w:t>
      </w:r>
      <w:proofErr w:type="spellEnd"/>
      <w:r w:rsidRPr="00BC0429">
        <w:rPr>
          <w:rFonts w:ascii="Tahoma" w:eastAsia="Times New Roman" w:hAnsi="Tahoma" w:cs="Tahoma"/>
          <w:sz w:val="20"/>
          <w:szCs w:val="20"/>
          <w:lang w:eastAsia="pt-BR"/>
        </w:rPr>
        <w:t xml:space="preserve"> aos</w:t>
      </w:r>
      <w:r w:rsidRPr="00BC0429">
        <w:rPr>
          <w:rFonts w:ascii="Tahoma" w:eastAsia="Times New Roman" w:hAnsi="Tahoma" w:cs="Tahoma"/>
          <w:sz w:val="20"/>
          <w:lang w:eastAsia="pt-BR"/>
        </w:rPr>
        <w:t> </w:t>
      </w:r>
      <w:hyperlink r:id="rId11" w:history="1">
        <w:r w:rsidRPr="00BC0429">
          <w:rPr>
            <w:rFonts w:ascii="Tahoma" w:eastAsia="Times New Roman" w:hAnsi="Tahoma" w:cs="Tahoma"/>
            <w:sz w:val="20"/>
            <w:lang w:eastAsia="pt-BR"/>
          </w:rPr>
          <w:t>Estados membros</w:t>
        </w:r>
      </w:hyperlink>
      <w:r w:rsidRPr="00BC0429">
        <w:rPr>
          <w:rFonts w:ascii="Tahoma" w:eastAsia="Times New Roman" w:hAnsi="Tahoma" w:cs="Tahoma"/>
          <w:sz w:val="20"/>
          <w:lang w:eastAsia="pt-BR"/>
        </w:rPr>
        <w:t> </w:t>
      </w:r>
      <w:r w:rsidRPr="00BC0429">
        <w:rPr>
          <w:rFonts w:ascii="Tahoma" w:eastAsia="Times New Roman" w:hAnsi="Tahoma" w:cs="Tahoma"/>
          <w:sz w:val="20"/>
          <w:szCs w:val="20"/>
          <w:lang w:eastAsia="pt-BR"/>
        </w:rPr>
        <w:t>a convocatória da Assembléia Geral, da Reunião de Consulta dos Ministros das Relações Exteriores, do</w:t>
      </w:r>
      <w:r w:rsidRPr="00BC0429">
        <w:rPr>
          <w:rFonts w:ascii="Tahoma" w:eastAsia="Times New Roman" w:hAnsi="Tahoma" w:cs="Tahoma"/>
          <w:sz w:val="20"/>
          <w:lang w:eastAsia="pt-BR"/>
        </w:rPr>
        <w:t> </w:t>
      </w:r>
      <w:hyperlink r:id="rId12" w:anchor="cidi" w:history="1">
        <w:r w:rsidRPr="00BC0429">
          <w:rPr>
            <w:rFonts w:ascii="Tahoma" w:eastAsia="Times New Roman" w:hAnsi="Tahoma" w:cs="Tahoma"/>
            <w:sz w:val="20"/>
            <w:lang w:eastAsia="pt-BR"/>
          </w:rPr>
          <w:t>Conselho Interamericano de Desenvolvimento Integral</w:t>
        </w:r>
      </w:hyperlink>
      <w:r w:rsidRPr="00BC0429">
        <w:rPr>
          <w:rFonts w:ascii="Tahoma" w:eastAsia="Times New Roman" w:hAnsi="Tahoma" w:cs="Tahoma"/>
          <w:sz w:val="20"/>
          <w:lang w:eastAsia="pt-BR"/>
        </w:rPr>
        <w:t> </w:t>
      </w:r>
      <w:r w:rsidRPr="00BC0429">
        <w:rPr>
          <w:rFonts w:ascii="Tahoma" w:eastAsia="Times New Roman" w:hAnsi="Tahoma" w:cs="Tahoma"/>
          <w:sz w:val="20"/>
          <w:szCs w:val="20"/>
          <w:lang w:eastAsia="pt-BR"/>
        </w:rPr>
        <w:t>e das</w:t>
      </w:r>
      <w:r w:rsidRPr="00BC0429">
        <w:rPr>
          <w:rFonts w:ascii="Tahoma" w:eastAsia="Times New Roman" w:hAnsi="Tahoma" w:cs="Tahoma"/>
          <w:sz w:val="20"/>
          <w:lang w:eastAsia="pt-BR"/>
        </w:rPr>
        <w:t> </w:t>
      </w:r>
      <w:hyperlink r:id="rId13" w:history="1">
        <w:r w:rsidRPr="00BC0429">
          <w:rPr>
            <w:rFonts w:ascii="Tahoma" w:eastAsia="Times New Roman" w:hAnsi="Tahoma" w:cs="Tahoma"/>
            <w:sz w:val="20"/>
            <w:lang w:eastAsia="pt-BR"/>
          </w:rPr>
          <w:t>Conferências Especializadas</w:t>
        </w:r>
      </w:hyperlink>
      <w:r w:rsidRPr="00BC0429">
        <w:rPr>
          <w:rFonts w:ascii="Tahoma" w:eastAsia="Times New Roman" w:hAnsi="Tahoma" w:cs="Tahoma"/>
          <w:sz w:val="20"/>
          <w:szCs w:val="20"/>
          <w:lang w:eastAsia="pt-BR"/>
        </w:rPr>
        <w:t>;</w:t>
      </w:r>
    </w:p>
    <w:p w:rsidR="00BC0429" w:rsidRPr="00BC0429" w:rsidRDefault="00BC0429" w:rsidP="00BC0429">
      <w:pPr>
        <w:numPr>
          <w:ilvl w:val="0"/>
          <w:numId w:val="2"/>
        </w:numPr>
        <w:shd w:val="clear" w:color="auto" w:fill="FFFFFF"/>
        <w:spacing w:before="240" w:after="240" w:line="240" w:lineRule="auto"/>
        <w:rPr>
          <w:rFonts w:ascii="Tahoma" w:eastAsia="Times New Roman" w:hAnsi="Tahoma" w:cs="Tahoma"/>
          <w:sz w:val="20"/>
          <w:szCs w:val="20"/>
          <w:lang w:eastAsia="pt-BR"/>
        </w:rPr>
      </w:pPr>
      <w:r w:rsidRPr="00BC0429">
        <w:rPr>
          <w:rFonts w:ascii="Tahoma" w:eastAsia="Times New Roman" w:hAnsi="Tahoma" w:cs="Tahoma"/>
          <w:sz w:val="20"/>
          <w:szCs w:val="20"/>
          <w:lang w:eastAsia="pt-BR"/>
        </w:rPr>
        <w:t>Assessorar os outros órgãos, quando cabível, na elaboração das agendas e regulamentos;</w:t>
      </w:r>
    </w:p>
    <w:p w:rsidR="00BC0429" w:rsidRPr="00BC0429" w:rsidRDefault="00BC0429" w:rsidP="00BC0429">
      <w:pPr>
        <w:numPr>
          <w:ilvl w:val="0"/>
          <w:numId w:val="2"/>
        </w:numPr>
        <w:shd w:val="clear" w:color="auto" w:fill="FFFFFF"/>
        <w:spacing w:before="240" w:after="240" w:line="240" w:lineRule="auto"/>
        <w:rPr>
          <w:rFonts w:ascii="Tahoma" w:eastAsia="Times New Roman" w:hAnsi="Tahoma" w:cs="Tahoma"/>
          <w:sz w:val="20"/>
          <w:szCs w:val="20"/>
          <w:lang w:eastAsia="pt-BR"/>
        </w:rPr>
      </w:pPr>
      <w:r w:rsidRPr="00BC0429">
        <w:rPr>
          <w:rFonts w:ascii="Tahoma" w:eastAsia="Times New Roman" w:hAnsi="Tahoma" w:cs="Tahoma"/>
          <w:sz w:val="20"/>
          <w:szCs w:val="20"/>
          <w:lang w:eastAsia="pt-BR"/>
        </w:rPr>
        <w:t>Preparar o projeto de orçamento-programa da Organização com base nos programas aprovados pelos Conselhos, organismos e entidades cujas despesas devam ser incluídas no orçamento-programa e, após consulta com esses Conselhos ou suas Comissões Permanentes, submetê-lo à Comissão Preparatória da Assembléia Geral e em seguida à própria Assembléia;</w:t>
      </w:r>
    </w:p>
    <w:p w:rsidR="00BC0429" w:rsidRPr="00BC0429" w:rsidRDefault="00BC0429" w:rsidP="00BC0429">
      <w:pPr>
        <w:numPr>
          <w:ilvl w:val="0"/>
          <w:numId w:val="2"/>
        </w:numPr>
        <w:shd w:val="clear" w:color="auto" w:fill="FFFFFF"/>
        <w:spacing w:before="240" w:after="240" w:line="240" w:lineRule="auto"/>
        <w:rPr>
          <w:rFonts w:ascii="Tahoma" w:eastAsia="Times New Roman" w:hAnsi="Tahoma" w:cs="Tahoma"/>
          <w:sz w:val="20"/>
          <w:szCs w:val="20"/>
          <w:lang w:eastAsia="pt-BR"/>
        </w:rPr>
      </w:pPr>
      <w:r w:rsidRPr="00BC0429">
        <w:rPr>
          <w:rFonts w:ascii="Tahoma" w:eastAsia="Times New Roman" w:hAnsi="Tahoma" w:cs="Tahoma"/>
          <w:sz w:val="20"/>
          <w:szCs w:val="20"/>
          <w:lang w:eastAsia="pt-BR"/>
        </w:rPr>
        <w:t>Proporcionar à Assembléia Geral e aos demais órgãos serviços de secretaria permanentes e adequados, bem como dar cumprimento a seus mandatos e encargos. Dentro de suas possibilidades, atender às outras reuniões da Organização;</w:t>
      </w:r>
    </w:p>
    <w:p w:rsidR="00BC0429" w:rsidRPr="00BC0429" w:rsidRDefault="00BC0429" w:rsidP="00BC0429">
      <w:pPr>
        <w:numPr>
          <w:ilvl w:val="0"/>
          <w:numId w:val="2"/>
        </w:numPr>
        <w:shd w:val="clear" w:color="auto" w:fill="FFFFFF"/>
        <w:spacing w:before="240" w:after="240" w:line="240" w:lineRule="auto"/>
        <w:rPr>
          <w:rFonts w:ascii="Tahoma" w:eastAsia="Times New Roman" w:hAnsi="Tahoma" w:cs="Tahoma"/>
          <w:sz w:val="20"/>
          <w:szCs w:val="20"/>
          <w:lang w:eastAsia="pt-BR"/>
        </w:rPr>
      </w:pPr>
      <w:r w:rsidRPr="00BC0429">
        <w:rPr>
          <w:rFonts w:ascii="Tahoma" w:eastAsia="Times New Roman" w:hAnsi="Tahoma" w:cs="Tahoma"/>
          <w:sz w:val="20"/>
          <w:szCs w:val="20"/>
          <w:lang w:eastAsia="pt-BR"/>
        </w:rPr>
        <w:t>Custodiar os documentos e arquivos das Conferências Interamericanas, da Assembléia Geral, das Reuniões de Consulta dos Ministros das Relações Exteriores, dos Conselhos e das Conferências Especializadas;</w:t>
      </w:r>
    </w:p>
    <w:p w:rsidR="00BC0429" w:rsidRPr="00BC0429" w:rsidRDefault="00BC0429" w:rsidP="00BC0429">
      <w:pPr>
        <w:numPr>
          <w:ilvl w:val="0"/>
          <w:numId w:val="2"/>
        </w:numPr>
        <w:shd w:val="clear" w:color="auto" w:fill="FFFFFF"/>
        <w:spacing w:before="240" w:after="240" w:line="240" w:lineRule="auto"/>
        <w:rPr>
          <w:rFonts w:ascii="Tahoma" w:eastAsia="Times New Roman" w:hAnsi="Tahoma" w:cs="Tahoma"/>
          <w:sz w:val="20"/>
          <w:szCs w:val="20"/>
          <w:lang w:eastAsia="pt-BR"/>
        </w:rPr>
      </w:pPr>
      <w:r w:rsidRPr="00BC0429">
        <w:rPr>
          <w:rFonts w:ascii="Tahoma" w:eastAsia="Times New Roman" w:hAnsi="Tahoma" w:cs="Tahoma"/>
          <w:sz w:val="20"/>
          <w:szCs w:val="20"/>
          <w:lang w:eastAsia="pt-BR"/>
        </w:rPr>
        <w:t>Servir de depositária dos</w:t>
      </w:r>
      <w:r w:rsidRPr="00BC0429">
        <w:rPr>
          <w:rFonts w:ascii="Tahoma" w:eastAsia="Times New Roman" w:hAnsi="Tahoma" w:cs="Tahoma"/>
          <w:sz w:val="20"/>
          <w:lang w:eastAsia="pt-BR"/>
        </w:rPr>
        <w:t> </w:t>
      </w:r>
      <w:hyperlink r:id="rId14" w:history="1">
        <w:r w:rsidRPr="00BC0429">
          <w:rPr>
            <w:rFonts w:ascii="Tahoma" w:eastAsia="Times New Roman" w:hAnsi="Tahoma" w:cs="Tahoma"/>
            <w:sz w:val="20"/>
            <w:lang w:eastAsia="pt-BR"/>
          </w:rPr>
          <w:t>tratados e acordos interamericanos</w:t>
        </w:r>
      </w:hyperlink>
      <w:r w:rsidRPr="00BC0429">
        <w:rPr>
          <w:rFonts w:ascii="Tahoma" w:eastAsia="Times New Roman" w:hAnsi="Tahoma" w:cs="Tahoma"/>
          <w:sz w:val="20"/>
          <w:szCs w:val="20"/>
          <w:lang w:eastAsia="pt-BR"/>
        </w:rPr>
        <w:t>, bem como dos instrumentos de ratificação dos mesmos;</w:t>
      </w:r>
    </w:p>
    <w:p w:rsidR="00BC0429" w:rsidRPr="00BC0429" w:rsidRDefault="00BC0429" w:rsidP="00BC0429">
      <w:pPr>
        <w:numPr>
          <w:ilvl w:val="0"/>
          <w:numId w:val="2"/>
        </w:numPr>
        <w:shd w:val="clear" w:color="auto" w:fill="FFFFFF"/>
        <w:spacing w:before="240" w:after="240" w:line="240" w:lineRule="auto"/>
        <w:rPr>
          <w:rFonts w:ascii="Tahoma" w:eastAsia="Times New Roman" w:hAnsi="Tahoma" w:cs="Tahoma"/>
          <w:sz w:val="20"/>
          <w:szCs w:val="20"/>
          <w:lang w:eastAsia="pt-BR"/>
        </w:rPr>
      </w:pPr>
      <w:r w:rsidRPr="00BC0429">
        <w:rPr>
          <w:rFonts w:ascii="Tahoma" w:eastAsia="Times New Roman" w:hAnsi="Tahoma" w:cs="Tahoma"/>
          <w:sz w:val="20"/>
          <w:szCs w:val="20"/>
          <w:lang w:eastAsia="pt-BR"/>
        </w:rPr>
        <w:t>Apresentar à Assembléia Geral, em cada período ordinário de sessões, um</w:t>
      </w:r>
      <w:r w:rsidRPr="00BC0429">
        <w:rPr>
          <w:rFonts w:ascii="Tahoma" w:eastAsia="Times New Roman" w:hAnsi="Tahoma" w:cs="Tahoma"/>
          <w:sz w:val="20"/>
          <w:lang w:eastAsia="pt-BR"/>
        </w:rPr>
        <w:t> </w:t>
      </w:r>
      <w:hyperlink r:id="rId15" w:history="1">
        <w:r w:rsidRPr="00BC0429">
          <w:rPr>
            <w:rFonts w:ascii="Tahoma" w:eastAsia="Times New Roman" w:hAnsi="Tahoma" w:cs="Tahoma"/>
            <w:sz w:val="20"/>
            <w:lang w:eastAsia="pt-BR"/>
          </w:rPr>
          <w:t>relatório anual</w:t>
        </w:r>
      </w:hyperlink>
      <w:r w:rsidRPr="00BC0429">
        <w:rPr>
          <w:rFonts w:ascii="Tahoma" w:eastAsia="Times New Roman" w:hAnsi="Tahoma" w:cs="Tahoma"/>
          <w:sz w:val="20"/>
          <w:lang w:eastAsia="pt-BR"/>
        </w:rPr>
        <w:t> </w:t>
      </w:r>
      <w:r w:rsidRPr="00BC0429">
        <w:rPr>
          <w:rFonts w:ascii="Tahoma" w:eastAsia="Times New Roman" w:hAnsi="Tahoma" w:cs="Tahoma"/>
          <w:sz w:val="20"/>
          <w:szCs w:val="20"/>
          <w:lang w:eastAsia="pt-BR"/>
        </w:rPr>
        <w:t>sobre as atividades e a situa</w:t>
      </w:r>
      <w:r w:rsidR="00886EA3">
        <w:rPr>
          <w:rFonts w:ascii="Tahoma" w:eastAsia="Times New Roman" w:hAnsi="Tahoma" w:cs="Tahoma"/>
          <w:sz w:val="20"/>
          <w:szCs w:val="20"/>
          <w:lang w:eastAsia="pt-BR"/>
        </w:rPr>
        <w:t xml:space="preserve">ção financeira da Organização; </w:t>
      </w:r>
    </w:p>
    <w:p w:rsidR="00BC0429" w:rsidRPr="00BC0429" w:rsidRDefault="00BC0429" w:rsidP="00BC0429">
      <w:pPr>
        <w:numPr>
          <w:ilvl w:val="0"/>
          <w:numId w:val="2"/>
        </w:numPr>
        <w:shd w:val="clear" w:color="auto" w:fill="FFFFFF"/>
        <w:spacing w:before="240" w:after="240" w:line="240" w:lineRule="auto"/>
        <w:rPr>
          <w:rFonts w:ascii="Tahoma" w:eastAsia="Times New Roman" w:hAnsi="Tahoma" w:cs="Tahoma"/>
          <w:sz w:val="20"/>
          <w:szCs w:val="20"/>
          <w:lang w:eastAsia="pt-BR"/>
        </w:rPr>
      </w:pPr>
      <w:r w:rsidRPr="00BC0429">
        <w:rPr>
          <w:rFonts w:ascii="Tahoma" w:eastAsia="Times New Roman" w:hAnsi="Tahoma" w:cs="Tahoma"/>
          <w:sz w:val="20"/>
          <w:szCs w:val="20"/>
          <w:lang w:eastAsia="pt-BR"/>
        </w:rPr>
        <w:t>Estabelecer relações de cooperação, consoante o que for decidido pela Assembléia Geral ou pelos Conselhos, com os Organismos Especializados e com outros organismos nacionais e internacionais.</w:t>
      </w:r>
    </w:p>
    <w:p w:rsidR="00BC0429" w:rsidRPr="00BC0429" w:rsidRDefault="00BC0429" w:rsidP="00BC0429">
      <w:pPr>
        <w:shd w:val="clear" w:color="auto" w:fill="FFFFFF"/>
        <w:spacing w:before="240" w:after="240" w:line="240" w:lineRule="auto"/>
        <w:ind w:left="480" w:right="240"/>
        <w:rPr>
          <w:rFonts w:ascii="Tahoma" w:eastAsia="Times New Roman" w:hAnsi="Tahoma" w:cs="Tahoma"/>
          <w:sz w:val="24"/>
          <w:szCs w:val="24"/>
          <w:lang w:eastAsia="pt-BR"/>
        </w:rPr>
      </w:pPr>
    </w:p>
    <w:p w:rsidR="00BC0429" w:rsidRDefault="004A2001" w:rsidP="00BC0429">
      <w:pPr>
        <w:numPr>
          <w:ilvl w:val="0"/>
          <w:numId w:val="1"/>
        </w:numPr>
        <w:shd w:val="clear" w:color="auto" w:fill="FFFFFF"/>
        <w:spacing w:before="240" w:after="240" w:line="240" w:lineRule="auto"/>
        <w:ind w:left="480" w:right="240"/>
        <w:rPr>
          <w:rFonts w:ascii="Tahoma" w:eastAsia="Times New Roman" w:hAnsi="Tahoma" w:cs="Tahoma"/>
          <w:sz w:val="24"/>
          <w:szCs w:val="24"/>
          <w:lang w:eastAsia="pt-BR"/>
        </w:rPr>
      </w:pPr>
      <w:hyperlink r:id="rId16" w:history="1">
        <w:r w:rsidR="00BC0429" w:rsidRPr="00BC0429">
          <w:rPr>
            <w:rFonts w:ascii="Tahoma" w:eastAsia="Times New Roman" w:hAnsi="Tahoma" w:cs="Tahoma"/>
            <w:sz w:val="24"/>
            <w:szCs w:val="24"/>
            <w:lang w:eastAsia="pt-BR"/>
          </w:rPr>
          <w:t>Conferências Especializadas</w:t>
        </w:r>
      </w:hyperlink>
    </w:p>
    <w:p w:rsidR="00BC0429" w:rsidRDefault="00BC0429" w:rsidP="00BC0429">
      <w:pPr>
        <w:shd w:val="clear" w:color="auto" w:fill="FFFFFF"/>
        <w:spacing w:before="240" w:after="240" w:line="240" w:lineRule="auto"/>
        <w:ind w:left="480" w:right="240"/>
        <w:rPr>
          <w:rFonts w:ascii="Tahoma" w:hAnsi="Tahoma" w:cs="Tahoma"/>
          <w:sz w:val="20"/>
          <w:szCs w:val="20"/>
          <w:shd w:val="clear" w:color="auto" w:fill="FFFFFF"/>
        </w:rPr>
      </w:pPr>
      <w:r w:rsidRPr="00BC0429">
        <w:rPr>
          <w:rFonts w:ascii="Tahoma" w:hAnsi="Tahoma" w:cs="Tahoma"/>
          <w:sz w:val="20"/>
          <w:szCs w:val="20"/>
          <w:shd w:val="clear" w:color="auto" w:fill="FFFFFF"/>
        </w:rPr>
        <w:t>As Conferências Especializadas são reuniões intergovernamentais destinadas a tratar de assuntos técnicos especiais ou a desenvolver aspectos específicos da cooperação interamericana e s</w:t>
      </w:r>
      <w:r w:rsidR="002E7D7D">
        <w:rPr>
          <w:rFonts w:ascii="Tahoma" w:hAnsi="Tahoma" w:cs="Tahoma"/>
          <w:sz w:val="20"/>
          <w:szCs w:val="20"/>
          <w:shd w:val="clear" w:color="auto" w:fill="FFFFFF"/>
        </w:rPr>
        <w:t>ão realizadas quando</w:t>
      </w:r>
      <w:r w:rsidRPr="00BC0429">
        <w:rPr>
          <w:rFonts w:ascii="Tahoma" w:hAnsi="Tahoma" w:cs="Tahoma"/>
          <w:sz w:val="20"/>
          <w:szCs w:val="20"/>
          <w:shd w:val="clear" w:color="auto" w:fill="FFFFFF"/>
        </w:rPr>
        <w:t xml:space="preserve"> a</w:t>
      </w:r>
      <w:r w:rsidRPr="00BC0429">
        <w:rPr>
          <w:rStyle w:val="apple-converted-space"/>
          <w:rFonts w:ascii="Tahoma" w:hAnsi="Tahoma" w:cs="Tahoma"/>
          <w:sz w:val="20"/>
          <w:szCs w:val="20"/>
          <w:shd w:val="clear" w:color="auto" w:fill="FFFFFF"/>
        </w:rPr>
        <w:t> </w:t>
      </w:r>
      <w:hyperlink r:id="rId17" w:history="1">
        <w:r w:rsidRPr="00BC0429">
          <w:rPr>
            <w:rStyle w:val="Hyperlink"/>
            <w:rFonts w:ascii="Tahoma" w:hAnsi="Tahoma" w:cs="Tahoma"/>
            <w:color w:val="auto"/>
            <w:sz w:val="20"/>
            <w:szCs w:val="20"/>
            <w:u w:val="none"/>
            <w:shd w:val="clear" w:color="auto" w:fill="FFFFFF"/>
          </w:rPr>
          <w:t>Assembléia Geral</w:t>
        </w:r>
      </w:hyperlink>
      <w:r w:rsidRPr="00BC0429">
        <w:rPr>
          <w:rStyle w:val="apple-converted-space"/>
          <w:rFonts w:ascii="Tahoma" w:hAnsi="Tahoma" w:cs="Tahoma"/>
          <w:sz w:val="20"/>
          <w:szCs w:val="20"/>
          <w:shd w:val="clear" w:color="auto" w:fill="FFFFFF"/>
        </w:rPr>
        <w:t> </w:t>
      </w:r>
      <w:r w:rsidRPr="00BC0429">
        <w:rPr>
          <w:rFonts w:ascii="Tahoma" w:hAnsi="Tahoma" w:cs="Tahoma"/>
          <w:sz w:val="20"/>
          <w:szCs w:val="20"/>
          <w:shd w:val="clear" w:color="auto" w:fill="FFFFFF"/>
        </w:rPr>
        <w:t>ou a</w:t>
      </w:r>
      <w:r w:rsidRPr="00BC0429">
        <w:rPr>
          <w:rStyle w:val="apple-converted-space"/>
          <w:rFonts w:ascii="Tahoma" w:hAnsi="Tahoma" w:cs="Tahoma"/>
          <w:sz w:val="20"/>
          <w:szCs w:val="20"/>
          <w:shd w:val="clear" w:color="auto" w:fill="FFFFFF"/>
        </w:rPr>
        <w:t> </w:t>
      </w:r>
      <w:hyperlink r:id="rId18" w:history="1">
        <w:r w:rsidRPr="00BC0429">
          <w:rPr>
            <w:rStyle w:val="Hyperlink"/>
            <w:rFonts w:ascii="Tahoma" w:hAnsi="Tahoma" w:cs="Tahoma"/>
            <w:color w:val="auto"/>
            <w:sz w:val="20"/>
            <w:szCs w:val="20"/>
            <w:u w:val="none"/>
            <w:shd w:val="clear" w:color="auto" w:fill="FFFFFF"/>
          </w:rPr>
          <w:t>Reunião de Consulta dos Ministros das Relações Exteriores</w:t>
        </w:r>
      </w:hyperlink>
      <w:r w:rsidR="002E7D7D">
        <w:t xml:space="preserve"> determinar</w:t>
      </w:r>
      <w:r w:rsidRPr="00BC0429">
        <w:rPr>
          <w:rFonts w:ascii="Tahoma" w:hAnsi="Tahoma" w:cs="Tahoma"/>
          <w:sz w:val="20"/>
          <w:szCs w:val="20"/>
          <w:shd w:val="clear" w:color="auto" w:fill="FFFFFF"/>
        </w:rPr>
        <w:t>, por iniciativa própria ou a pedido de algum dos</w:t>
      </w:r>
      <w:r w:rsidRPr="00BC0429">
        <w:rPr>
          <w:rStyle w:val="apple-converted-space"/>
          <w:rFonts w:ascii="Tahoma" w:hAnsi="Tahoma" w:cs="Tahoma"/>
          <w:sz w:val="20"/>
          <w:szCs w:val="20"/>
          <w:shd w:val="clear" w:color="auto" w:fill="FFFFFF"/>
        </w:rPr>
        <w:t> </w:t>
      </w:r>
      <w:hyperlink r:id="rId19" w:history="1">
        <w:r w:rsidRPr="00BC0429">
          <w:rPr>
            <w:rStyle w:val="Hyperlink"/>
            <w:rFonts w:ascii="Tahoma" w:hAnsi="Tahoma" w:cs="Tahoma"/>
            <w:color w:val="auto"/>
            <w:sz w:val="20"/>
            <w:szCs w:val="20"/>
            <w:u w:val="none"/>
            <w:shd w:val="clear" w:color="auto" w:fill="FFFFFF"/>
          </w:rPr>
          <w:t>Conselhos</w:t>
        </w:r>
      </w:hyperlink>
      <w:r w:rsidRPr="00BC0429">
        <w:rPr>
          <w:rStyle w:val="apple-converted-space"/>
          <w:rFonts w:ascii="Tahoma" w:hAnsi="Tahoma" w:cs="Tahoma"/>
          <w:sz w:val="20"/>
          <w:szCs w:val="20"/>
          <w:shd w:val="clear" w:color="auto" w:fill="FFFFFF"/>
        </w:rPr>
        <w:t> </w:t>
      </w:r>
      <w:r w:rsidRPr="00BC0429">
        <w:rPr>
          <w:rFonts w:ascii="Tahoma" w:hAnsi="Tahoma" w:cs="Tahoma"/>
          <w:sz w:val="20"/>
          <w:szCs w:val="20"/>
          <w:shd w:val="clear" w:color="auto" w:fill="FFFFFF"/>
        </w:rPr>
        <w:t>ou</w:t>
      </w:r>
      <w:r w:rsidRPr="00BC0429">
        <w:rPr>
          <w:rStyle w:val="apple-converted-space"/>
          <w:rFonts w:ascii="Tahoma" w:hAnsi="Tahoma" w:cs="Tahoma"/>
          <w:sz w:val="20"/>
          <w:szCs w:val="20"/>
          <w:shd w:val="clear" w:color="auto" w:fill="FFFFFF"/>
        </w:rPr>
        <w:t> </w:t>
      </w:r>
      <w:hyperlink r:id="rId20" w:history="1">
        <w:r w:rsidRPr="00BC0429">
          <w:rPr>
            <w:rStyle w:val="Hyperlink"/>
            <w:rFonts w:ascii="Tahoma" w:hAnsi="Tahoma" w:cs="Tahoma"/>
            <w:color w:val="auto"/>
            <w:sz w:val="20"/>
            <w:szCs w:val="20"/>
            <w:u w:val="none"/>
            <w:shd w:val="clear" w:color="auto" w:fill="FFFFFF"/>
          </w:rPr>
          <w:t>Organismos Especializados</w:t>
        </w:r>
      </w:hyperlink>
      <w:r w:rsidRPr="00BC0429">
        <w:rPr>
          <w:rFonts w:ascii="Tahoma" w:hAnsi="Tahoma" w:cs="Tahoma"/>
          <w:sz w:val="20"/>
          <w:szCs w:val="20"/>
          <w:shd w:val="clear" w:color="auto" w:fill="FFFFFF"/>
        </w:rPr>
        <w:t>.</w:t>
      </w:r>
    </w:p>
    <w:p w:rsidR="00652FB2" w:rsidRPr="00BC0429" w:rsidRDefault="00652FB2" w:rsidP="00BC0429">
      <w:pPr>
        <w:shd w:val="clear" w:color="auto" w:fill="FFFFFF"/>
        <w:spacing w:before="240" w:after="240" w:line="240" w:lineRule="auto"/>
        <w:ind w:left="480" w:right="240"/>
        <w:rPr>
          <w:rFonts w:ascii="Tahoma" w:eastAsia="Times New Roman" w:hAnsi="Tahoma" w:cs="Tahoma"/>
          <w:sz w:val="24"/>
          <w:szCs w:val="24"/>
          <w:lang w:eastAsia="pt-BR"/>
        </w:rPr>
      </w:pPr>
    </w:p>
    <w:p w:rsidR="00BC0429" w:rsidRPr="00BC0429" w:rsidRDefault="004A2001" w:rsidP="00BC0429">
      <w:pPr>
        <w:numPr>
          <w:ilvl w:val="0"/>
          <w:numId w:val="1"/>
        </w:numPr>
        <w:shd w:val="clear" w:color="auto" w:fill="FFFFFF"/>
        <w:spacing w:before="240" w:after="240" w:line="240" w:lineRule="auto"/>
        <w:ind w:left="480" w:right="240"/>
        <w:rPr>
          <w:rFonts w:ascii="Tahoma" w:eastAsia="Times New Roman" w:hAnsi="Tahoma" w:cs="Tahoma"/>
          <w:sz w:val="24"/>
          <w:szCs w:val="24"/>
          <w:lang w:eastAsia="pt-BR"/>
        </w:rPr>
      </w:pPr>
      <w:hyperlink r:id="rId21" w:history="1">
        <w:r w:rsidR="00BC0429" w:rsidRPr="00BC0429">
          <w:rPr>
            <w:rFonts w:ascii="Tahoma" w:eastAsia="Times New Roman" w:hAnsi="Tahoma" w:cs="Tahoma"/>
            <w:sz w:val="24"/>
            <w:szCs w:val="24"/>
            <w:lang w:eastAsia="pt-BR"/>
          </w:rPr>
          <w:t>Organismos Especializados</w:t>
        </w:r>
      </w:hyperlink>
      <w:r w:rsidR="00BC0429" w:rsidRPr="00BC0429">
        <w:rPr>
          <w:rFonts w:ascii="Tahoma" w:eastAsia="Times New Roman" w:hAnsi="Tahoma" w:cs="Tahoma"/>
          <w:sz w:val="24"/>
          <w:szCs w:val="24"/>
          <w:lang w:eastAsia="pt-BR"/>
        </w:rPr>
        <w:t> </w:t>
      </w:r>
    </w:p>
    <w:p w:rsidR="00BC0429" w:rsidRPr="00BC0429" w:rsidRDefault="002E7D7D" w:rsidP="00BC0429">
      <w:pPr>
        <w:shd w:val="clear" w:color="auto" w:fill="FFFFFF"/>
        <w:spacing w:before="192" w:after="192" w:line="240" w:lineRule="auto"/>
        <w:ind w:left="120" w:right="144"/>
        <w:rPr>
          <w:rFonts w:ascii="Tahoma" w:eastAsia="Times New Roman" w:hAnsi="Tahoma" w:cs="Tahoma"/>
          <w:sz w:val="20"/>
          <w:szCs w:val="20"/>
          <w:lang w:eastAsia="pt-BR"/>
        </w:rPr>
      </w:pPr>
      <w:r>
        <w:rPr>
          <w:rFonts w:ascii="Tahoma" w:eastAsia="Times New Roman" w:hAnsi="Tahoma" w:cs="Tahoma"/>
          <w:sz w:val="20"/>
          <w:szCs w:val="20"/>
          <w:lang w:eastAsia="pt-BR"/>
        </w:rPr>
        <w:t>São definidos como</w:t>
      </w:r>
      <w:r w:rsidR="00BC0429" w:rsidRPr="00BC0429">
        <w:rPr>
          <w:rFonts w:ascii="Tahoma" w:eastAsia="Times New Roman" w:hAnsi="Tahoma" w:cs="Tahoma"/>
          <w:sz w:val="20"/>
          <w:szCs w:val="20"/>
          <w:lang w:eastAsia="pt-BR"/>
        </w:rPr>
        <w:t xml:space="preserve"> organismos intergovernamentais estabelecidos por acordos multilaterais, que tenham determinadas funções em matérias técnicas de interesse comum para</w:t>
      </w:r>
      <w:r w:rsidR="00886EA3">
        <w:rPr>
          <w:rFonts w:ascii="Tahoma" w:eastAsia="Times New Roman" w:hAnsi="Tahoma" w:cs="Tahoma"/>
          <w:sz w:val="20"/>
          <w:szCs w:val="20"/>
          <w:lang w:eastAsia="pt-BR"/>
        </w:rPr>
        <w:t xml:space="preserve"> os Estados americanos. Possuem</w:t>
      </w:r>
      <w:r w:rsidR="00BC0429" w:rsidRPr="00BC0429">
        <w:rPr>
          <w:rFonts w:ascii="Tahoma" w:eastAsia="Times New Roman" w:hAnsi="Tahoma" w:cs="Tahoma"/>
          <w:sz w:val="20"/>
          <w:szCs w:val="20"/>
          <w:lang w:eastAsia="pt-BR"/>
        </w:rPr>
        <w:t xml:space="preserve"> ampla autonomia técnica no âmbito das recomendações da</w:t>
      </w:r>
      <w:r w:rsidR="00BC0429" w:rsidRPr="00BC0429">
        <w:rPr>
          <w:rFonts w:ascii="Tahoma" w:eastAsia="Times New Roman" w:hAnsi="Tahoma" w:cs="Tahoma"/>
          <w:sz w:val="20"/>
          <w:lang w:eastAsia="pt-BR"/>
        </w:rPr>
        <w:t> </w:t>
      </w:r>
      <w:hyperlink r:id="rId22" w:history="1">
        <w:r w:rsidR="00BC0429" w:rsidRPr="00BC0429">
          <w:rPr>
            <w:rFonts w:ascii="Tahoma" w:eastAsia="Times New Roman" w:hAnsi="Tahoma" w:cs="Tahoma"/>
            <w:sz w:val="20"/>
            <w:lang w:eastAsia="pt-BR"/>
          </w:rPr>
          <w:t>Assembléia Geral</w:t>
        </w:r>
      </w:hyperlink>
      <w:r w:rsidR="00BC0429" w:rsidRPr="00BC0429">
        <w:rPr>
          <w:rFonts w:ascii="Tahoma" w:eastAsia="Times New Roman" w:hAnsi="Tahoma" w:cs="Tahoma"/>
          <w:sz w:val="20"/>
          <w:lang w:eastAsia="pt-BR"/>
        </w:rPr>
        <w:t> </w:t>
      </w:r>
      <w:r w:rsidR="00BC0429" w:rsidRPr="00BC0429">
        <w:rPr>
          <w:rFonts w:ascii="Tahoma" w:eastAsia="Times New Roman" w:hAnsi="Tahoma" w:cs="Tahoma"/>
          <w:sz w:val="20"/>
          <w:szCs w:val="20"/>
          <w:lang w:eastAsia="pt-BR"/>
        </w:rPr>
        <w:t>e dos</w:t>
      </w:r>
      <w:r w:rsidR="00BC0429" w:rsidRPr="00BC0429">
        <w:rPr>
          <w:rFonts w:ascii="Tahoma" w:eastAsia="Times New Roman" w:hAnsi="Tahoma" w:cs="Tahoma"/>
          <w:sz w:val="20"/>
          <w:lang w:eastAsia="pt-BR"/>
        </w:rPr>
        <w:t> </w:t>
      </w:r>
      <w:hyperlink r:id="rId23" w:history="1">
        <w:r w:rsidR="00BC0429" w:rsidRPr="00BC0429">
          <w:rPr>
            <w:rFonts w:ascii="Tahoma" w:eastAsia="Times New Roman" w:hAnsi="Tahoma" w:cs="Tahoma"/>
            <w:sz w:val="20"/>
            <w:lang w:eastAsia="pt-BR"/>
          </w:rPr>
          <w:t>Conselhos</w:t>
        </w:r>
      </w:hyperlink>
      <w:r w:rsidR="00BC0429" w:rsidRPr="00BC0429">
        <w:rPr>
          <w:rFonts w:ascii="Tahoma" w:eastAsia="Times New Roman" w:hAnsi="Tahoma" w:cs="Tahoma"/>
          <w:sz w:val="20"/>
          <w:szCs w:val="20"/>
          <w:lang w:eastAsia="pt-BR"/>
        </w:rPr>
        <w:t>.</w:t>
      </w:r>
    </w:p>
    <w:p w:rsidR="00BC0429" w:rsidRPr="00BC0429" w:rsidRDefault="004A2001" w:rsidP="00BC0429">
      <w:pPr>
        <w:shd w:val="clear" w:color="auto" w:fill="FFFFFF"/>
        <w:spacing w:before="240" w:after="240" w:line="240" w:lineRule="auto"/>
        <w:ind w:left="480" w:right="240"/>
        <w:rPr>
          <w:rFonts w:ascii="Tahoma" w:eastAsia="Times New Roman" w:hAnsi="Tahoma" w:cs="Tahoma"/>
          <w:sz w:val="20"/>
          <w:szCs w:val="20"/>
          <w:lang w:eastAsia="pt-BR"/>
        </w:rPr>
      </w:pPr>
      <w:hyperlink r:id="rId24" w:history="1">
        <w:r w:rsidR="00BC0429" w:rsidRPr="00BC0429">
          <w:rPr>
            <w:rFonts w:ascii="Tahoma" w:eastAsia="Times New Roman" w:hAnsi="Tahoma" w:cs="Tahoma"/>
            <w:b/>
            <w:bCs/>
            <w:sz w:val="20"/>
            <w:lang w:eastAsia="pt-BR"/>
          </w:rPr>
          <w:t>Organização Pan-Americana da Saúde</w:t>
        </w:r>
      </w:hyperlink>
      <w:r w:rsidR="00BC0429" w:rsidRPr="00BC0429">
        <w:rPr>
          <w:rFonts w:ascii="Tahoma" w:eastAsia="Times New Roman" w:hAnsi="Tahoma" w:cs="Tahoma"/>
          <w:sz w:val="20"/>
          <w:szCs w:val="20"/>
          <w:lang w:eastAsia="pt-BR"/>
        </w:rPr>
        <w:br/>
        <w:t>A Organização Pan-Americana da Saúde (OPAS), é o organismo regional especializado em saúde do Sistema Interamericano, bem como o Escritório Regional para as Américas da Organização Mundial da Saúde</w:t>
      </w:r>
      <w:r w:rsidR="002E7D7D">
        <w:rPr>
          <w:rFonts w:ascii="Tahoma" w:eastAsia="Times New Roman" w:hAnsi="Tahoma" w:cs="Tahoma"/>
          <w:sz w:val="20"/>
          <w:szCs w:val="20"/>
          <w:lang w:eastAsia="pt-BR"/>
        </w:rPr>
        <w:t>.</w:t>
      </w:r>
      <w:r w:rsidR="00BC0429" w:rsidRPr="00BC0429">
        <w:rPr>
          <w:rFonts w:ascii="Tahoma" w:eastAsia="Times New Roman" w:hAnsi="Tahoma" w:cs="Tahoma"/>
          <w:sz w:val="20"/>
          <w:szCs w:val="20"/>
          <w:lang w:eastAsia="pt-BR"/>
        </w:rPr>
        <w:t xml:space="preserve"> A missão da OPAS é “orientar os esforços estratégicos de colaboração entre os Estados membros e outros parceiros, no sentido de promover a eqüidade na saúde, combater doenças, melhorar a qualidade e elevar a expectativa de vida dos povos das Américas”.</w:t>
      </w:r>
    </w:p>
    <w:p w:rsidR="00BC0429" w:rsidRPr="00BC0429" w:rsidRDefault="004A2001" w:rsidP="00BC0429">
      <w:pPr>
        <w:shd w:val="clear" w:color="auto" w:fill="FFFFFF"/>
        <w:spacing w:before="240" w:after="240" w:line="240" w:lineRule="auto"/>
        <w:ind w:left="480" w:right="240"/>
        <w:rPr>
          <w:rFonts w:ascii="Tahoma" w:eastAsia="Times New Roman" w:hAnsi="Tahoma" w:cs="Tahoma"/>
          <w:sz w:val="20"/>
          <w:szCs w:val="20"/>
          <w:lang w:eastAsia="pt-BR"/>
        </w:rPr>
      </w:pPr>
      <w:hyperlink r:id="rId25" w:history="1">
        <w:r w:rsidR="00BC0429" w:rsidRPr="00BC0429">
          <w:rPr>
            <w:rFonts w:ascii="Tahoma" w:eastAsia="Times New Roman" w:hAnsi="Tahoma" w:cs="Tahoma"/>
            <w:b/>
            <w:bCs/>
            <w:sz w:val="20"/>
            <w:lang w:eastAsia="pt-BR"/>
          </w:rPr>
          <w:t>Instituto Interamericano da Criança</w:t>
        </w:r>
      </w:hyperlink>
      <w:r w:rsidR="00BC0429" w:rsidRPr="00BC0429">
        <w:rPr>
          <w:rFonts w:ascii="Tahoma" w:eastAsia="Times New Roman" w:hAnsi="Tahoma" w:cs="Tahoma"/>
          <w:sz w:val="20"/>
          <w:szCs w:val="20"/>
          <w:lang w:eastAsia="pt-BR"/>
        </w:rPr>
        <w:br/>
        <w:t>O Instituto é um organismo especializado que contribui para a articulação das políticas públicas para a infância nas Américas, a promoção da relação do Estado com a sociedade civil e o desenvolvimento de uma consciência crítica frente aos problemas que afetam a infância e a adolescência na Região.</w:t>
      </w:r>
    </w:p>
    <w:p w:rsidR="00BC0429" w:rsidRPr="00BC0429" w:rsidRDefault="004A2001" w:rsidP="00BC0429">
      <w:pPr>
        <w:shd w:val="clear" w:color="auto" w:fill="FFFFFF"/>
        <w:spacing w:before="240" w:after="240" w:line="240" w:lineRule="auto"/>
        <w:ind w:left="480" w:right="240"/>
        <w:rPr>
          <w:rFonts w:ascii="Tahoma" w:eastAsia="Times New Roman" w:hAnsi="Tahoma" w:cs="Tahoma"/>
          <w:sz w:val="20"/>
          <w:szCs w:val="20"/>
          <w:lang w:eastAsia="pt-BR"/>
        </w:rPr>
      </w:pPr>
      <w:hyperlink r:id="rId26" w:history="1">
        <w:r w:rsidR="00BC0429" w:rsidRPr="00BC0429">
          <w:rPr>
            <w:rFonts w:ascii="Tahoma" w:eastAsia="Times New Roman" w:hAnsi="Tahoma" w:cs="Tahoma"/>
            <w:b/>
            <w:bCs/>
            <w:sz w:val="20"/>
            <w:lang w:eastAsia="pt-BR"/>
          </w:rPr>
          <w:t>Comissão Interamericana de Mulheres</w:t>
        </w:r>
      </w:hyperlink>
      <w:r w:rsidR="00BC0429" w:rsidRPr="00BC0429">
        <w:rPr>
          <w:rFonts w:ascii="Tahoma" w:eastAsia="Times New Roman" w:hAnsi="Tahoma" w:cs="Tahoma"/>
          <w:sz w:val="20"/>
          <w:szCs w:val="20"/>
          <w:lang w:eastAsia="pt-BR"/>
        </w:rPr>
        <w:br/>
        <w:t>Criada pela Sexta Conf</w:t>
      </w:r>
      <w:r w:rsidR="002E7D7D">
        <w:rPr>
          <w:rFonts w:ascii="Tahoma" w:eastAsia="Times New Roman" w:hAnsi="Tahoma" w:cs="Tahoma"/>
          <w:sz w:val="20"/>
          <w:szCs w:val="20"/>
          <w:lang w:eastAsia="pt-BR"/>
        </w:rPr>
        <w:t xml:space="preserve">erência Internacional Americana, </w:t>
      </w:r>
      <w:r w:rsidR="00BC0429" w:rsidRPr="00BC0429">
        <w:rPr>
          <w:rFonts w:ascii="Tahoma" w:eastAsia="Times New Roman" w:hAnsi="Tahoma" w:cs="Tahoma"/>
          <w:sz w:val="20"/>
          <w:szCs w:val="20"/>
          <w:lang w:eastAsia="pt-BR"/>
        </w:rPr>
        <w:t>a Comissão Interamericana de Mulheres (CIM) é um organismo consultivo da OEA e o principal foro gerador de políticas hemisféricas para a promoção dos direitos da mulher e d</w:t>
      </w:r>
      <w:r w:rsidR="002E7D7D">
        <w:rPr>
          <w:rFonts w:ascii="Tahoma" w:eastAsia="Times New Roman" w:hAnsi="Tahoma" w:cs="Tahoma"/>
          <w:sz w:val="20"/>
          <w:szCs w:val="20"/>
          <w:lang w:eastAsia="pt-BR"/>
        </w:rPr>
        <w:t>a igualdade</w:t>
      </w:r>
      <w:r w:rsidR="00BC0429" w:rsidRPr="00BC0429">
        <w:rPr>
          <w:rFonts w:ascii="Tahoma" w:eastAsia="Times New Roman" w:hAnsi="Tahoma" w:cs="Tahoma"/>
          <w:sz w:val="20"/>
          <w:szCs w:val="20"/>
          <w:lang w:eastAsia="pt-BR"/>
        </w:rPr>
        <w:t>. Seu objetivo é promover a incorporação da perspectiva de gênero aos projetos, programas e políticas da Organização e incentivar os governos a desenvolver políticas públicas e programas com perspectiva de gênero, a fim de que homens e mulheres tenham as mesmas oportunidades em todos os âmbitos da sociedade.</w:t>
      </w:r>
    </w:p>
    <w:p w:rsidR="00BC0429" w:rsidRPr="00BC0429" w:rsidRDefault="004A2001" w:rsidP="00BC0429">
      <w:pPr>
        <w:shd w:val="clear" w:color="auto" w:fill="FFFFFF"/>
        <w:spacing w:before="240" w:after="240" w:line="240" w:lineRule="auto"/>
        <w:ind w:left="480" w:right="240"/>
        <w:rPr>
          <w:rFonts w:ascii="Tahoma" w:eastAsia="Times New Roman" w:hAnsi="Tahoma" w:cs="Tahoma"/>
          <w:sz w:val="20"/>
          <w:szCs w:val="20"/>
          <w:lang w:eastAsia="pt-BR"/>
        </w:rPr>
      </w:pPr>
      <w:hyperlink r:id="rId27" w:history="1">
        <w:r w:rsidR="00BC0429" w:rsidRPr="00BC0429">
          <w:rPr>
            <w:rFonts w:ascii="Tahoma" w:eastAsia="Times New Roman" w:hAnsi="Tahoma" w:cs="Tahoma"/>
            <w:b/>
            <w:bCs/>
            <w:sz w:val="20"/>
            <w:lang w:eastAsia="pt-BR"/>
          </w:rPr>
          <w:t>Instituto Pan-Americano de Geografia e História</w:t>
        </w:r>
      </w:hyperlink>
      <w:r w:rsidR="00BC0429" w:rsidRPr="00BC0429">
        <w:rPr>
          <w:rFonts w:ascii="Tahoma" w:eastAsia="Times New Roman" w:hAnsi="Tahoma" w:cs="Tahoma"/>
          <w:sz w:val="20"/>
          <w:szCs w:val="20"/>
          <w:lang w:eastAsia="pt-BR"/>
        </w:rPr>
        <w:br/>
        <w:t>Criado pela Sexta Conferência Intern</w:t>
      </w:r>
      <w:r w:rsidR="002E7D7D">
        <w:rPr>
          <w:rFonts w:ascii="Tahoma" w:eastAsia="Times New Roman" w:hAnsi="Tahoma" w:cs="Tahoma"/>
          <w:sz w:val="20"/>
          <w:szCs w:val="20"/>
          <w:lang w:eastAsia="pt-BR"/>
        </w:rPr>
        <w:t>acional Americana</w:t>
      </w:r>
      <w:r w:rsidR="00BC0429" w:rsidRPr="00BC0429">
        <w:rPr>
          <w:rFonts w:ascii="Tahoma" w:eastAsia="Times New Roman" w:hAnsi="Tahoma" w:cs="Tahoma"/>
          <w:sz w:val="20"/>
          <w:szCs w:val="20"/>
          <w:lang w:eastAsia="pt-BR"/>
        </w:rPr>
        <w:t>, o Instituto Pan-Americano de Geografia e História (IPGH) oferece cooperação técnica, capacitação em centros de pesquisa, divulgação de publicações e organização de reuniões técnicas nos campos de cartografia, geografia, história e geofísica.</w:t>
      </w:r>
      <w:r w:rsidR="00BC0429" w:rsidRPr="00BC0429">
        <w:rPr>
          <w:rFonts w:ascii="Tahoma" w:eastAsia="Times New Roman" w:hAnsi="Tahoma" w:cs="Tahoma"/>
          <w:sz w:val="20"/>
          <w:szCs w:val="20"/>
          <w:lang w:eastAsia="pt-BR"/>
        </w:rPr>
        <w:br/>
      </w:r>
      <w:r w:rsidR="00BC0429" w:rsidRPr="00BC0429">
        <w:rPr>
          <w:rFonts w:ascii="Tahoma" w:eastAsia="Times New Roman" w:hAnsi="Tahoma" w:cs="Tahoma"/>
          <w:sz w:val="20"/>
          <w:szCs w:val="20"/>
          <w:lang w:eastAsia="pt-BR"/>
        </w:rPr>
        <w:br/>
        <w:t>Com o apoio do sistema de seções nacionais e com o concurso da comunidade científica afim na região pan-americana, o IPGH responde à crescente demanda da comunidade científica internacional na tarefa de interpretação do território com base na análise geográfica e histórica e numa visão autenticamente continental. Também desenvolve mecanismos de comunicações efetivas e oportunas entre os especialistas, com base em parâmetros específicos.</w:t>
      </w:r>
    </w:p>
    <w:p w:rsidR="00C45FC1" w:rsidRDefault="00C45FC1" w:rsidP="00BC0429">
      <w:pPr>
        <w:shd w:val="clear" w:color="auto" w:fill="FFFFFF"/>
        <w:spacing w:before="240" w:after="240" w:line="240" w:lineRule="auto"/>
        <w:ind w:left="480" w:right="240"/>
      </w:pPr>
    </w:p>
    <w:p w:rsidR="00C45FC1" w:rsidRDefault="00C45FC1" w:rsidP="00BC0429">
      <w:pPr>
        <w:shd w:val="clear" w:color="auto" w:fill="FFFFFF"/>
        <w:spacing w:before="240" w:after="240" w:line="240" w:lineRule="auto"/>
        <w:ind w:left="480" w:right="240"/>
      </w:pPr>
    </w:p>
    <w:p w:rsidR="00BC0429" w:rsidRDefault="004A2001" w:rsidP="00BC0429">
      <w:pPr>
        <w:shd w:val="clear" w:color="auto" w:fill="FFFFFF"/>
        <w:spacing w:before="240" w:after="240" w:line="240" w:lineRule="auto"/>
        <w:ind w:left="480" w:right="240"/>
        <w:rPr>
          <w:rFonts w:ascii="Tahoma" w:eastAsia="Times New Roman" w:hAnsi="Tahoma" w:cs="Tahoma"/>
          <w:sz w:val="20"/>
          <w:szCs w:val="20"/>
          <w:lang w:eastAsia="pt-BR"/>
        </w:rPr>
      </w:pPr>
      <w:hyperlink r:id="rId28" w:history="1">
        <w:r w:rsidR="00BC0429" w:rsidRPr="00BC0429">
          <w:rPr>
            <w:rFonts w:ascii="Tahoma" w:eastAsia="Times New Roman" w:hAnsi="Tahoma" w:cs="Tahoma"/>
            <w:b/>
            <w:bCs/>
            <w:sz w:val="20"/>
            <w:lang w:eastAsia="pt-BR"/>
          </w:rPr>
          <w:t>Instituto Interamericano de Cooperação para a Agricultura</w:t>
        </w:r>
      </w:hyperlink>
      <w:r w:rsidR="00BC0429" w:rsidRPr="00BC0429">
        <w:rPr>
          <w:rFonts w:ascii="Tahoma" w:eastAsia="Times New Roman" w:hAnsi="Tahoma" w:cs="Tahoma"/>
          <w:sz w:val="20"/>
          <w:szCs w:val="20"/>
          <w:lang w:eastAsia="pt-BR"/>
        </w:rPr>
        <w:br/>
        <w:t xml:space="preserve">Fundado em 1942, o Instituto Interamericano de Cooperação para a Agricultura (IICA) é o organismo especializado do Sistema Interamericano para o setor agropecuário e os territórios rurais. Incentiva, promove e </w:t>
      </w:r>
      <w:proofErr w:type="spellStart"/>
      <w:r w:rsidR="00BC0429" w:rsidRPr="00BC0429">
        <w:rPr>
          <w:rFonts w:ascii="Tahoma" w:eastAsia="Times New Roman" w:hAnsi="Tahoma" w:cs="Tahoma"/>
          <w:sz w:val="20"/>
          <w:szCs w:val="20"/>
          <w:lang w:eastAsia="pt-BR"/>
        </w:rPr>
        <w:t>apoia</w:t>
      </w:r>
      <w:proofErr w:type="spellEnd"/>
      <w:r w:rsidR="00BC0429" w:rsidRPr="00BC0429">
        <w:rPr>
          <w:rFonts w:ascii="Tahoma" w:eastAsia="Times New Roman" w:hAnsi="Tahoma" w:cs="Tahoma"/>
          <w:sz w:val="20"/>
          <w:szCs w:val="20"/>
          <w:lang w:eastAsia="pt-BR"/>
        </w:rPr>
        <w:t xml:space="preserve"> os esforços dos Estados membros por alcançar o desenvolvimento sustentável da agricultura e a prosperidade das comunidades rurais.</w:t>
      </w:r>
    </w:p>
    <w:p w:rsidR="001B3D68" w:rsidRPr="00BC0429" w:rsidRDefault="001B3D68" w:rsidP="00BC0429">
      <w:pPr>
        <w:shd w:val="clear" w:color="auto" w:fill="FFFFFF"/>
        <w:spacing w:before="240" w:after="240" w:line="240" w:lineRule="auto"/>
        <w:ind w:left="480" w:right="240"/>
        <w:rPr>
          <w:rFonts w:ascii="Tahoma" w:eastAsia="Times New Roman" w:hAnsi="Tahoma" w:cs="Tahoma"/>
          <w:sz w:val="20"/>
          <w:szCs w:val="20"/>
          <w:lang w:eastAsia="pt-BR"/>
        </w:rPr>
      </w:pPr>
    </w:p>
    <w:p w:rsidR="00BC0429" w:rsidRDefault="001B3D68">
      <w:r>
        <w:t xml:space="preserve">FONTE:  </w:t>
      </w:r>
      <w:hyperlink r:id="rId29" w:history="1">
        <w:r>
          <w:rPr>
            <w:rStyle w:val="Hyperlink"/>
          </w:rPr>
          <w:t>http://www.oas.org/pt/sobre/nossa_estrutura.asp</w:t>
        </w:r>
      </w:hyperlink>
    </w:p>
    <w:sectPr w:rsidR="00BC0429" w:rsidSect="004B3E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F521B"/>
    <w:multiLevelType w:val="multilevel"/>
    <w:tmpl w:val="A6F0F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303CED"/>
    <w:multiLevelType w:val="multilevel"/>
    <w:tmpl w:val="0180D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950029"/>
    <w:multiLevelType w:val="multilevel"/>
    <w:tmpl w:val="A886C0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BC0429"/>
    <w:rsid w:val="00193336"/>
    <w:rsid w:val="001B3D68"/>
    <w:rsid w:val="002E7D7D"/>
    <w:rsid w:val="004A2001"/>
    <w:rsid w:val="004B3EA2"/>
    <w:rsid w:val="006256CF"/>
    <w:rsid w:val="00652FB2"/>
    <w:rsid w:val="006A76C9"/>
    <w:rsid w:val="00886EA3"/>
    <w:rsid w:val="00BC0429"/>
    <w:rsid w:val="00C45FC1"/>
    <w:rsid w:val="00D10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EA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BC0429"/>
    <w:rPr>
      <w:color w:val="0000FF"/>
      <w:u w:val="single"/>
    </w:rPr>
  </w:style>
  <w:style w:type="character" w:customStyle="1" w:styleId="apple-converted-space">
    <w:name w:val="apple-converted-space"/>
    <w:basedOn w:val="Fontepargpadro"/>
    <w:rsid w:val="00BC0429"/>
  </w:style>
  <w:style w:type="paragraph" w:styleId="NormalWeb">
    <w:name w:val="Normal (Web)"/>
    <w:basedOn w:val="Normal"/>
    <w:uiPriority w:val="99"/>
    <w:semiHidden/>
    <w:unhideWhenUsed/>
    <w:rsid w:val="00BC0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0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as.org/pt/sobre/secretaria_geral.asp" TargetMode="External"/><Relationship Id="rId13" Type="http://schemas.openxmlformats.org/officeDocument/2006/relationships/hyperlink" Target="http://www.oas.org/pt/sobre/conferencias_especializadas.asp" TargetMode="External"/><Relationship Id="rId18" Type="http://schemas.openxmlformats.org/officeDocument/2006/relationships/hyperlink" Target="http://www.oas.org/pt/sobre/reunioes_relacoes_exteriores.asp" TargetMode="External"/><Relationship Id="rId26" Type="http://schemas.openxmlformats.org/officeDocument/2006/relationships/hyperlink" Target="http://portal.oas.org/Default.aspx?tabid=621&amp;language=es-CO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oas.org/pt/sobre/organismos_especializados.asp" TargetMode="External"/><Relationship Id="rId7" Type="http://schemas.openxmlformats.org/officeDocument/2006/relationships/hyperlink" Target="http://www.oas.org/pt/sobre/assembleia_geral.asp" TargetMode="External"/><Relationship Id="rId12" Type="http://schemas.openxmlformats.org/officeDocument/2006/relationships/hyperlink" Target="http://www.oas.org/pt/sobre/conselhos.asp" TargetMode="External"/><Relationship Id="rId17" Type="http://schemas.openxmlformats.org/officeDocument/2006/relationships/hyperlink" Target="http://www.oas.org/pt/sobre/assembleia_geral.asp" TargetMode="External"/><Relationship Id="rId25" Type="http://schemas.openxmlformats.org/officeDocument/2006/relationships/hyperlink" Target="http://www.iin.oea.org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as.org/pt/sobre/conferencias_especializadas.asp" TargetMode="External"/><Relationship Id="rId20" Type="http://schemas.openxmlformats.org/officeDocument/2006/relationships/hyperlink" Target="http://www.oas.org/pt/sobre/organismos_especializados.asp" TargetMode="External"/><Relationship Id="rId29" Type="http://schemas.openxmlformats.org/officeDocument/2006/relationships/hyperlink" Target="http://www.oas.org/pt/sobre/nossa_estrutura.as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oas.org/pt/cidh/" TargetMode="External"/><Relationship Id="rId11" Type="http://schemas.openxmlformats.org/officeDocument/2006/relationships/hyperlink" Target="http://www.oas.org/pt/paises/estados_membros.asp" TargetMode="External"/><Relationship Id="rId24" Type="http://schemas.openxmlformats.org/officeDocument/2006/relationships/hyperlink" Target="http://new.paho.org/hq/index.php?lang=es" TargetMode="External"/><Relationship Id="rId5" Type="http://schemas.openxmlformats.org/officeDocument/2006/relationships/hyperlink" Target="http://www.oas.org/pt/sobre/comissao_direitos_humanos.asp" TargetMode="External"/><Relationship Id="rId15" Type="http://schemas.openxmlformats.org/officeDocument/2006/relationships/hyperlink" Target="http://www.oas.org/pt/centro_informacao/relatorio_anual.asp" TargetMode="External"/><Relationship Id="rId23" Type="http://schemas.openxmlformats.org/officeDocument/2006/relationships/hyperlink" Target="http://www.oas.org/pt/sobre/conselhos.asp" TargetMode="External"/><Relationship Id="rId28" Type="http://schemas.openxmlformats.org/officeDocument/2006/relationships/hyperlink" Target="http://www.iica.int/Esp/Paginas/default.aspx" TargetMode="External"/><Relationship Id="rId10" Type="http://schemas.openxmlformats.org/officeDocument/2006/relationships/hyperlink" Target="http://www.oas.org/pt/sobre/reunioes_relacoes_exteriores.asp" TargetMode="External"/><Relationship Id="rId19" Type="http://schemas.openxmlformats.org/officeDocument/2006/relationships/hyperlink" Target="http://www.oas.org/pt/sobre/conselhos.asp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oas.org/juridico/portuguese/carta.htm" TargetMode="External"/><Relationship Id="rId14" Type="http://schemas.openxmlformats.org/officeDocument/2006/relationships/hyperlink" Target="http://www.oas.org/dil/esp/tratadosyacuerdos.htm" TargetMode="External"/><Relationship Id="rId22" Type="http://schemas.openxmlformats.org/officeDocument/2006/relationships/hyperlink" Target="http://www.oas.org/pt/sobre/assembleia_geral.asp" TargetMode="External"/><Relationship Id="rId27" Type="http://schemas.openxmlformats.org/officeDocument/2006/relationships/hyperlink" Target="http://www.ipgh.org/spanish/default.ht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1179</Words>
  <Characters>6368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10</cp:revision>
  <dcterms:created xsi:type="dcterms:W3CDTF">2013-10-30T15:24:00Z</dcterms:created>
  <dcterms:modified xsi:type="dcterms:W3CDTF">2013-10-31T22:24:00Z</dcterms:modified>
</cp:coreProperties>
</file>