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-1008057340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  <w:lang w:val="en-CA" w:eastAsia="en-US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6"/>
          </w:tblGrid>
          <w:tr w:rsidR="00BA2B71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Company"/>
                <w:id w:val="15524243"/>
                <w:placeholder>
                  <w:docPart w:val="DA361AC6F1FD438396477944D0848AE7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5000" w:type="pct"/>
                  </w:tcPr>
                  <w:p w:rsidR="00BA2B71" w:rsidRDefault="00BA2B7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  <w:lang w:val="en-CA"/>
                      </w:rPr>
                      <w:t>UOIT</w:t>
                    </w:r>
                  </w:p>
                </w:tc>
              </w:sdtContent>
            </w:sdt>
          </w:tr>
          <w:tr w:rsidR="00BA2B71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C7F50824E51C4C2E91A30516A63B1933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BA2B71" w:rsidRDefault="00BA2B71" w:rsidP="00BA2B7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Strategic Management</w:t>
                    </w:r>
                  </w:p>
                </w:tc>
              </w:sdtContent>
            </w:sdt>
          </w:tr>
          <w:tr w:rsidR="00BA2B71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8EC91FD5A4DF49278B1B2F3D0E9B452F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BA2B71" w:rsidRDefault="00BA2B71" w:rsidP="00BA2B7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How </w:t>
                    </w:r>
                    <w:r w:rsidR="00507B60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Shoppers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Drug Mart Operates in the Retail and Drugstore Industry</w:t>
                    </w:r>
                  </w:p>
                </w:tc>
              </w:sdtContent>
            </w:sdt>
          </w:tr>
          <w:tr w:rsidR="00BA2B7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A2B71" w:rsidRDefault="00BA2B71">
                <w:pPr>
                  <w:pStyle w:val="NoSpacing"/>
                  <w:jc w:val="center"/>
                </w:pPr>
              </w:p>
            </w:tc>
          </w:tr>
          <w:tr w:rsidR="00BA2B7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BA2B71" w:rsidRDefault="00BA2B71" w:rsidP="00BA2B71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  <w:tr w:rsidR="00BA2B7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tbl>
                <w:tblPr>
                  <w:tblStyle w:val="TableGrid"/>
                  <w:tblW w:w="0" w:type="auto"/>
                  <w:tblLook w:val="04A0" w:firstRow="1" w:lastRow="0" w:firstColumn="1" w:lastColumn="0" w:noHBand="0" w:noVBand="1"/>
                </w:tblPr>
                <w:tblGrid>
                  <w:gridCol w:w="4672"/>
                  <w:gridCol w:w="4673"/>
                </w:tblGrid>
                <w:tr w:rsidR="00BA2B71" w:rsidTr="00BA2B71">
                  <w:tc>
                    <w:tcPr>
                      <w:tcW w:w="4672" w:type="dxa"/>
                    </w:tcPr>
                    <w:p w:rsidR="00BA2B71" w:rsidRDefault="00BA2B71" w:rsidP="00BA2B71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Name</w:t>
                      </w:r>
                    </w:p>
                  </w:tc>
                  <w:tc>
                    <w:tcPr>
                      <w:tcW w:w="4673" w:type="dxa"/>
                    </w:tcPr>
                    <w:p w:rsidR="00BA2B71" w:rsidRDefault="00BA2B71" w:rsidP="00BA2B71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ID</w:t>
                      </w:r>
                    </w:p>
                  </w:tc>
                </w:tr>
                <w:tr w:rsidR="00BA2B71" w:rsidTr="00BA2B71">
                  <w:tc>
                    <w:tcPr>
                      <w:tcW w:w="4672" w:type="dxa"/>
                    </w:tcPr>
                    <w:p w:rsidR="00BA2B71" w:rsidRDefault="00BA2B71" w:rsidP="00BA2B71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Brian Liang</w:t>
                      </w:r>
                    </w:p>
                  </w:tc>
                  <w:tc>
                    <w:tcPr>
                      <w:tcW w:w="4673" w:type="dxa"/>
                    </w:tcPr>
                    <w:p w:rsidR="00BA2B71" w:rsidRDefault="00BA2B71" w:rsidP="00BA2B71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100442577</w:t>
                      </w:r>
                    </w:p>
                  </w:tc>
                </w:tr>
                <w:tr w:rsidR="00BA2B71" w:rsidTr="00BA2B71">
                  <w:tc>
                    <w:tcPr>
                      <w:tcW w:w="4672" w:type="dxa"/>
                    </w:tcPr>
                    <w:p w:rsidR="00BA2B71" w:rsidRDefault="00BA2B71" w:rsidP="00BA2B71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Eddy Zhou</w:t>
                      </w:r>
                    </w:p>
                  </w:tc>
                  <w:tc>
                    <w:tcPr>
                      <w:tcW w:w="4673" w:type="dxa"/>
                    </w:tcPr>
                    <w:p w:rsidR="00BA2B71" w:rsidRDefault="00BA2B71" w:rsidP="00BA2B71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</w:p>
                  </w:tc>
                </w:tr>
                <w:tr w:rsidR="00BA2B71" w:rsidTr="00BA2B71">
                  <w:tc>
                    <w:tcPr>
                      <w:tcW w:w="4672" w:type="dxa"/>
                    </w:tcPr>
                    <w:p w:rsidR="00BA2B71" w:rsidRDefault="00BA2B71" w:rsidP="00BA2B71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Thayer Bai</w:t>
                      </w:r>
                    </w:p>
                  </w:tc>
                  <w:tc>
                    <w:tcPr>
                      <w:tcW w:w="4673" w:type="dxa"/>
                    </w:tcPr>
                    <w:p w:rsidR="00BA2B71" w:rsidRDefault="00BA2B71" w:rsidP="00BA2B71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</w:p>
                  </w:tc>
                </w:tr>
                <w:tr w:rsidR="00BA2B71" w:rsidTr="00BA2B71">
                  <w:tc>
                    <w:tcPr>
                      <w:tcW w:w="4672" w:type="dxa"/>
                    </w:tcPr>
                    <w:p w:rsidR="00BA2B71" w:rsidRDefault="00BA2B71" w:rsidP="00BA2B71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Terry Price</w:t>
                      </w:r>
                    </w:p>
                  </w:tc>
                  <w:tc>
                    <w:tcPr>
                      <w:tcW w:w="4673" w:type="dxa"/>
                    </w:tcPr>
                    <w:p w:rsidR="00BA2B71" w:rsidRDefault="00BA2B71" w:rsidP="00BA2B71">
                      <w:pPr>
                        <w:pStyle w:val="NoSpacing"/>
                        <w:jc w:val="center"/>
                        <w:rPr>
                          <w:b/>
                          <w:bCs/>
                        </w:rPr>
                      </w:pPr>
                    </w:p>
                  </w:tc>
                </w:tr>
              </w:tbl>
              <w:p w:rsidR="00BA2B71" w:rsidRDefault="00BA2B71" w:rsidP="00BA2B71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</w:tbl>
        <w:p w:rsidR="00BA2B71" w:rsidRDefault="00BA2B71"/>
        <w:p w:rsidR="00BA2B71" w:rsidRDefault="00BA2B71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6"/>
          </w:tblGrid>
          <w:tr w:rsidR="00BA2B71">
            <w:tc>
              <w:tcPr>
                <w:tcW w:w="5000" w:type="pct"/>
              </w:tcPr>
              <w:p w:rsidR="00BA2B71" w:rsidRDefault="00BA2B71" w:rsidP="00BA2B71">
                <w:pPr>
                  <w:pStyle w:val="NoSpacing"/>
                </w:pPr>
              </w:p>
            </w:tc>
          </w:tr>
        </w:tbl>
        <w:p w:rsidR="00BA2B71" w:rsidRDefault="00BA2B71"/>
        <w:p w:rsidR="00BA2B71" w:rsidRDefault="00BA2B71">
          <w:r>
            <w:br w:type="page"/>
          </w:r>
        </w:p>
      </w:sdtContent>
    </w:sdt>
    <w:p w:rsidR="00BA2B71" w:rsidRDefault="00BA2B71" w:rsidP="00BA2B71">
      <w:pPr>
        <w:pStyle w:val="Heading1"/>
      </w:pPr>
      <w:r>
        <w:lastRenderedPageBreak/>
        <w:t>Company</w:t>
      </w:r>
    </w:p>
    <w:p w:rsidR="00BA2B71" w:rsidRPr="00BA2B71" w:rsidRDefault="00BA2B71" w:rsidP="00BA2B71"/>
    <w:p w:rsidR="005714ED" w:rsidRDefault="005714ED">
      <w:r>
        <w:t>We will be doing a study of the publicly tr</w:t>
      </w:r>
      <w:r w:rsidR="000852EE">
        <w:t xml:space="preserve">aded </w:t>
      </w:r>
      <w:r w:rsidR="00BA2B71">
        <w:t xml:space="preserve">Canadian </w:t>
      </w:r>
      <w:r w:rsidR="000852EE">
        <w:t xml:space="preserve">company Shoppers Drug Mart (SDM).  </w:t>
      </w:r>
      <w:r>
        <w:t xml:space="preserve">  </w:t>
      </w:r>
      <w:r w:rsidR="00BA2B71">
        <w:t>This corporation is the largest retail pharmacy chain in Canada and operates with over 1,241 across the country</w:t>
      </w:r>
      <w:r w:rsidR="00507B60">
        <w:t xml:space="preserve"> </w:t>
      </w:r>
      <w:sdt>
        <w:sdtPr>
          <w:id w:val="734589702"/>
          <w:citation/>
        </w:sdtPr>
        <w:sdtContent>
          <w:r w:rsidR="00507B60">
            <w:fldChar w:fldCharType="begin"/>
          </w:r>
          <w:r w:rsidR="00507B60">
            <w:instrText xml:space="preserve"> CITATION Sho12 \l 4105 </w:instrText>
          </w:r>
          <w:r w:rsidR="00507B60">
            <w:fldChar w:fldCharType="separate"/>
          </w:r>
          <w:r w:rsidR="00507B60" w:rsidRPr="00507B60">
            <w:rPr>
              <w:noProof/>
            </w:rPr>
            <w:t>[1]</w:t>
          </w:r>
          <w:r w:rsidR="00507B60">
            <w:fldChar w:fldCharType="end"/>
          </w:r>
        </w:sdtContent>
      </w:sdt>
      <w:r w:rsidR="00BA2B71">
        <w:t xml:space="preserve">.  It was founded by Murray </w:t>
      </w:r>
      <w:proofErr w:type="spellStart"/>
      <w:r w:rsidR="00BA2B71">
        <w:t>Koffler</w:t>
      </w:r>
      <w:proofErr w:type="spellEnd"/>
      <w:r w:rsidR="00BA2B71">
        <w:t xml:space="preserve"> in 1962</w:t>
      </w:r>
      <w:r w:rsidR="00507B60">
        <w:t xml:space="preserve"> </w:t>
      </w:r>
      <w:sdt>
        <w:sdtPr>
          <w:id w:val="1001399489"/>
          <w:citation/>
        </w:sdtPr>
        <w:sdtContent>
          <w:r w:rsidR="00507B60">
            <w:fldChar w:fldCharType="begin"/>
          </w:r>
          <w:r w:rsidR="00507B60">
            <w:instrText xml:space="preserve"> CITATION Sho12 \l 4105 </w:instrText>
          </w:r>
          <w:r w:rsidR="00507B60">
            <w:fldChar w:fldCharType="separate"/>
          </w:r>
          <w:r w:rsidR="00507B60" w:rsidRPr="00507B60">
            <w:rPr>
              <w:noProof/>
            </w:rPr>
            <w:t>[1]</w:t>
          </w:r>
          <w:r w:rsidR="00507B60">
            <w:fldChar w:fldCharType="end"/>
          </w:r>
        </w:sdtContent>
      </w:sdt>
      <w:r w:rsidR="00BA2B71">
        <w:t xml:space="preserve">.  They have recently been involved in an announcement of acquisition by </w:t>
      </w:r>
      <w:proofErr w:type="spellStart"/>
      <w:proofErr w:type="gramStart"/>
      <w:r w:rsidR="00BA2B71">
        <w:t>Loblaws</w:t>
      </w:r>
      <w:proofErr w:type="spellEnd"/>
      <w:r w:rsidR="00BA2B71">
        <w:t>,</w:t>
      </w:r>
      <w:proofErr w:type="gramEnd"/>
      <w:r w:rsidR="00BA2B71">
        <w:t xml:space="preserve"> the deal is worth $12.4 billion</w:t>
      </w:r>
      <w:r w:rsidR="00507B60">
        <w:t xml:space="preserve"> </w:t>
      </w:r>
      <w:sdt>
        <w:sdtPr>
          <w:id w:val="493613513"/>
          <w:citation/>
        </w:sdtPr>
        <w:sdtContent>
          <w:r w:rsidR="00507B60">
            <w:fldChar w:fldCharType="begin"/>
          </w:r>
          <w:r w:rsidR="00507B60">
            <w:instrText xml:space="preserve"> CITATION Arm13 \l 4105 </w:instrText>
          </w:r>
          <w:r w:rsidR="00507B60">
            <w:fldChar w:fldCharType="separate"/>
          </w:r>
          <w:r w:rsidR="00507B60" w:rsidRPr="00507B60">
            <w:rPr>
              <w:noProof/>
            </w:rPr>
            <w:t>[2]</w:t>
          </w:r>
          <w:r w:rsidR="00507B60">
            <w:fldChar w:fldCharType="end"/>
          </w:r>
        </w:sdtContent>
      </w:sdt>
      <w:r w:rsidR="00BA2B71">
        <w:t>.</w:t>
      </w:r>
    </w:p>
    <w:p w:rsidR="00BA2B71" w:rsidRDefault="00BA2B71" w:rsidP="00BA2B71">
      <w:pPr>
        <w:pStyle w:val="Heading1"/>
      </w:pPr>
      <w:r>
        <w:t>Industry</w:t>
      </w:r>
    </w:p>
    <w:p w:rsidR="00BA2B71" w:rsidRPr="00BA2B71" w:rsidRDefault="00BA2B71" w:rsidP="00BA2B71"/>
    <w:p w:rsidR="00066309" w:rsidRDefault="00066309">
      <w:r>
        <w:t xml:space="preserve">They operate in the </w:t>
      </w:r>
      <w:r w:rsidR="002E1784">
        <w:t>Pharmaceutical</w:t>
      </w:r>
      <w:r>
        <w:t xml:space="preserve"> and Retail industry</w:t>
      </w:r>
      <w:r w:rsidR="00507B60">
        <w:t xml:space="preserve"> </w:t>
      </w:r>
      <w:sdt>
        <w:sdtPr>
          <w:id w:val="419217830"/>
          <w:citation/>
        </w:sdtPr>
        <w:sdtContent>
          <w:r w:rsidR="00507B60">
            <w:fldChar w:fldCharType="begin"/>
          </w:r>
          <w:r w:rsidR="00507B60">
            <w:instrText xml:space="preserve"> CITATION Sho12 \l 4105 </w:instrText>
          </w:r>
          <w:r w:rsidR="00507B60">
            <w:fldChar w:fldCharType="separate"/>
          </w:r>
          <w:r w:rsidR="00507B60" w:rsidRPr="00507B60">
            <w:rPr>
              <w:noProof/>
            </w:rPr>
            <w:t>[1]</w:t>
          </w:r>
          <w:r w:rsidR="00507B60">
            <w:fldChar w:fldCharType="end"/>
          </w:r>
        </w:sdtContent>
      </w:sdt>
      <w:r>
        <w:t>.</w:t>
      </w:r>
      <w:r w:rsidR="00BA2B71">
        <w:t xml:space="preserve">  The retail industry is primarily involved in the sale of goods or services to the </w:t>
      </w:r>
      <w:r w:rsidR="002E1784">
        <w:t>consumer</w:t>
      </w:r>
      <w:r w:rsidR="00507B60">
        <w:t xml:space="preserve"> </w:t>
      </w:r>
      <w:sdt>
        <w:sdtPr>
          <w:id w:val="-878694659"/>
          <w:citation/>
        </w:sdtPr>
        <w:sdtContent>
          <w:r w:rsidR="00507B60">
            <w:fldChar w:fldCharType="begin"/>
          </w:r>
          <w:r w:rsidR="00507B60">
            <w:instrText xml:space="preserve"> CITATION Gov121 \l 4105 </w:instrText>
          </w:r>
          <w:r w:rsidR="00507B60">
            <w:fldChar w:fldCharType="separate"/>
          </w:r>
          <w:r w:rsidR="00507B60" w:rsidRPr="00507B60">
            <w:rPr>
              <w:noProof/>
            </w:rPr>
            <w:t>[3]</w:t>
          </w:r>
          <w:r w:rsidR="00507B60">
            <w:fldChar w:fldCharType="end"/>
          </w:r>
        </w:sdtContent>
      </w:sdt>
      <w:r w:rsidR="002E1784">
        <w:t>.  The Pharmaceutical industry is a more specific branch of the retail industry and is involved with preparation and dispensing of drugs and medicines to the consumer</w:t>
      </w:r>
      <w:r w:rsidR="00507B60">
        <w:t xml:space="preserve"> </w:t>
      </w:r>
      <w:sdt>
        <w:sdtPr>
          <w:id w:val="969488664"/>
          <w:citation/>
        </w:sdtPr>
        <w:sdtContent>
          <w:r w:rsidR="00507B60">
            <w:fldChar w:fldCharType="begin"/>
          </w:r>
          <w:r w:rsidR="00507B60">
            <w:instrText xml:space="preserve"> CITATION Gov12 \l 4105 </w:instrText>
          </w:r>
          <w:r w:rsidR="00507B60">
            <w:fldChar w:fldCharType="separate"/>
          </w:r>
          <w:r w:rsidR="00507B60" w:rsidRPr="00507B60">
            <w:rPr>
              <w:noProof/>
            </w:rPr>
            <w:t>[4]</w:t>
          </w:r>
          <w:r w:rsidR="00507B60">
            <w:fldChar w:fldCharType="end"/>
          </w:r>
        </w:sdtContent>
      </w:sdt>
      <w:r w:rsidR="002E1784">
        <w:t xml:space="preserve">.  </w:t>
      </w:r>
    </w:p>
    <w:p w:rsidR="00BA2B71" w:rsidRDefault="00BA2B71" w:rsidP="00BA2B71">
      <w:pPr>
        <w:pStyle w:val="Heading1"/>
      </w:pPr>
      <w:r>
        <w:t>Proposal</w:t>
      </w:r>
    </w:p>
    <w:p w:rsidR="002E1784" w:rsidRPr="002E1784" w:rsidRDefault="002E1784" w:rsidP="002E1784"/>
    <w:p w:rsidR="00507B60" w:rsidRDefault="00066309">
      <w:r>
        <w:t>The objectives will be to analyze the overall strategy of Shoppers</w:t>
      </w:r>
      <w:r w:rsidR="000852EE">
        <w:t xml:space="preserve">.  </w:t>
      </w:r>
      <w:r w:rsidR="000852EE">
        <w:t xml:space="preserve">We will look at growth rates, market size, profitability issues, </w:t>
      </w:r>
      <w:r w:rsidR="000852EE">
        <w:t>and key</w:t>
      </w:r>
      <w:r w:rsidR="000852EE">
        <w:t xml:space="preserve"> influences from the general environment, comp</w:t>
      </w:r>
      <w:r w:rsidR="000852EE">
        <w:t xml:space="preserve">etitive analysis, SWOT analysis, etc.  </w:t>
      </w:r>
      <w:r w:rsidR="00507B60">
        <w:t xml:space="preserve">Our scope will be to focus on the Retail Industry in general as it is estimated that Shoppers primary cash flows are from retail.  </w:t>
      </w:r>
      <w:bookmarkStart w:id="0" w:name="_GoBack"/>
      <w:bookmarkEnd w:id="0"/>
    </w:p>
    <w:p w:rsidR="00066309" w:rsidRDefault="000852EE">
      <w:r>
        <w:t>By asking</w:t>
      </w:r>
      <w:r w:rsidR="00066309">
        <w:t xml:space="preserve"> </w:t>
      </w:r>
      <w:r>
        <w:t>“</w:t>
      </w:r>
      <w:r w:rsidR="00066309">
        <w:t>how they utilize their internal competencies</w:t>
      </w:r>
      <w:r>
        <w:t>”</w:t>
      </w:r>
      <w:r w:rsidR="00066309">
        <w:t xml:space="preserve"> and </w:t>
      </w:r>
      <w:r>
        <w:t>“</w:t>
      </w:r>
      <w:r w:rsidR="00066309">
        <w:t>how they respond</w:t>
      </w:r>
      <w:r>
        <w:t xml:space="preserve"> to the external environments”, we can get a better idea of why they use these strategies.  </w:t>
      </w:r>
    </w:p>
    <w:p w:rsidR="000852EE" w:rsidRDefault="000852EE">
      <w:r>
        <w:t xml:space="preserve">To analyze the internal competencies, we will perform a VRIO analysis to determine how </w:t>
      </w:r>
      <w:r w:rsidR="00507B60">
        <w:t>Shoppers</w:t>
      </w:r>
      <w:r>
        <w:t xml:space="preserve"> resources and capabilities factor in.  </w:t>
      </w:r>
      <w:r>
        <w:t xml:space="preserve">We will also analyze the strategies of other companies within the same industry and compare their prospects.  </w:t>
      </w:r>
      <w:r>
        <w:t xml:space="preserve">We will then analyze how they </w:t>
      </w:r>
      <w:r w:rsidR="00BA2B71">
        <w:t>are similar</w:t>
      </w:r>
      <w:r>
        <w:t xml:space="preserve"> to </w:t>
      </w:r>
      <w:r w:rsidR="00507B60">
        <w:t>Shoppers</w:t>
      </w:r>
      <w:r>
        <w:t xml:space="preserve"> strategy.</w:t>
      </w:r>
    </w:p>
    <w:p w:rsidR="00066309" w:rsidRDefault="00066309">
      <w:r>
        <w:t xml:space="preserve">To analyze the industry, we will perform a Porter’s Five Forces analysis to determine industry attractiveness.  Then we will access </w:t>
      </w:r>
      <w:r w:rsidR="00507B60">
        <w:t>Shoppers</w:t>
      </w:r>
      <w:r>
        <w:t xml:space="preserve"> performance in the industry and </w:t>
      </w:r>
      <w:r w:rsidR="000852EE">
        <w:t xml:space="preserve">how it relates to </w:t>
      </w:r>
      <w:r w:rsidR="00507B60">
        <w:t>Shoppers</w:t>
      </w:r>
      <w:r w:rsidR="000852EE">
        <w:t xml:space="preserve"> strategy.  </w:t>
      </w:r>
      <w:r w:rsidR="000852EE">
        <w:t xml:space="preserve">We will also forecast 3-5 years ahead </w:t>
      </w:r>
      <w:r w:rsidR="000852EE">
        <w:t xml:space="preserve">as well as analyze the current state </w:t>
      </w:r>
      <w:r w:rsidR="000852EE">
        <w:t xml:space="preserve">to determine how they fit in.  </w:t>
      </w:r>
      <w:r w:rsidR="000852EE">
        <w:t>We will address the expected developments within the industry and how this will affect the company.  This will give insight as to the outlook of the company and why.</w:t>
      </w:r>
    </w:p>
    <w:p w:rsidR="000852EE" w:rsidRDefault="000852EE">
      <w:r>
        <w:t xml:space="preserve">We will then make a recommendation for the senior management team and determine the best course of action.  </w:t>
      </w:r>
    </w:p>
    <w:p w:rsidR="00066309" w:rsidRDefault="00066309"/>
    <w:p w:rsidR="002E1784" w:rsidRDefault="002E1784"/>
    <w:p w:rsidR="002E1784" w:rsidRDefault="002E1784"/>
    <w:sdt>
      <w:sdtPr>
        <w:id w:val="-1009973756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2E1784" w:rsidRDefault="002E1784" w:rsidP="002E1784">
          <w:pPr>
            <w:pStyle w:val="Heading1"/>
          </w:pPr>
          <w:r>
            <w:t>Bibliography</w:t>
          </w:r>
        </w:p>
        <w:sdt>
          <w:sdtPr>
            <w:id w:val="111145805"/>
            <w:bibliography/>
          </w:sdtPr>
          <w:sdtContent>
            <w:p w:rsidR="00507B60" w:rsidRDefault="002E1784" w:rsidP="002E1784">
              <w:pPr>
                <w:rPr>
                  <w:noProof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22"/>
                <w:gridCol w:w="9128"/>
              </w:tblGrid>
              <w:tr w:rsidR="00507B60">
                <w:trPr>
                  <w:divId w:val="1767967376"/>
                  <w:tblCellSpacing w:w="15" w:type="dxa"/>
                </w:trPr>
                <w:tc>
                  <w:tcPr>
                    <w:tcW w:w="50" w:type="pct"/>
                    <w:hideMark/>
                  </w:tcPr>
                  <w:p w:rsidR="00507B60" w:rsidRDefault="00507B60">
                    <w:pPr>
                      <w:pStyle w:val="Bibliography"/>
                      <w:rPr>
                        <w:rFonts w:eastAsiaTheme="minorEastAsia"/>
                        <w:noProof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:rsidR="00507B60" w:rsidRDefault="00507B60">
                    <w:pPr>
                      <w:pStyle w:val="Bibliography"/>
                      <w:rPr>
                        <w:rFonts w:eastAsiaTheme="minorEastAsia"/>
                        <w:noProof/>
                      </w:rPr>
                    </w:pPr>
                    <w:r>
                      <w:rPr>
                        <w:noProof/>
                      </w:rPr>
                      <w:t>Shoppers Drug Mart, "Corporate Profile," 2012. [Online]. Available: http://www.shoppersdrugmart.ca/english/corporate_information/investor_relations/.</w:t>
                    </w:r>
                  </w:p>
                </w:tc>
              </w:tr>
              <w:tr w:rsidR="00507B60">
                <w:trPr>
                  <w:divId w:val="1767967376"/>
                  <w:tblCellSpacing w:w="15" w:type="dxa"/>
                </w:trPr>
                <w:tc>
                  <w:tcPr>
                    <w:tcW w:w="50" w:type="pct"/>
                    <w:hideMark/>
                  </w:tcPr>
                  <w:p w:rsidR="00507B60" w:rsidRDefault="00507B60">
                    <w:pPr>
                      <w:pStyle w:val="Bibliography"/>
                      <w:rPr>
                        <w:rFonts w:eastAsiaTheme="minorEastAsia"/>
                        <w:noProof/>
                      </w:rPr>
                    </w:pPr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:rsidR="00507B60" w:rsidRDefault="00507B60">
                    <w:pPr>
                      <w:pStyle w:val="Bibliography"/>
                      <w:rPr>
                        <w:rFonts w:eastAsiaTheme="minorEastAsia"/>
                        <w:noProof/>
                      </w:rPr>
                    </w:pPr>
                    <w:r>
                      <w:rPr>
                        <w:noProof/>
                      </w:rPr>
                      <w:t>A. Ligaya, "Loblaw to buy Shoppers Drug Mart for $13.4 Billion," 2013. [Online]. Available: http://business.financialpost.com/2013/07/15/loblaw-to-buy-shoppers-drug-mart-for/.</w:t>
                    </w:r>
                  </w:p>
                </w:tc>
              </w:tr>
              <w:tr w:rsidR="00507B60">
                <w:trPr>
                  <w:divId w:val="1767967376"/>
                  <w:tblCellSpacing w:w="15" w:type="dxa"/>
                </w:trPr>
                <w:tc>
                  <w:tcPr>
                    <w:tcW w:w="50" w:type="pct"/>
                    <w:hideMark/>
                  </w:tcPr>
                  <w:p w:rsidR="00507B60" w:rsidRDefault="00507B60">
                    <w:pPr>
                      <w:pStyle w:val="Bibliography"/>
                      <w:rPr>
                        <w:rFonts w:eastAsiaTheme="minorEastAsia"/>
                        <w:noProof/>
                      </w:rPr>
                    </w:pPr>
                    <w:r>
                      <w:rPr>
                        <w:noProof/>
                      </w:rPr>
                      <w:t xml:space="preserve">[3] </w:t>
                    </w:r>
                  </w:p>
                </w:tc>
                <w:tc>
                  <w:tcPr>
                    <w:tcW w:w="0" w:type="auto"/>
                    <w:hideMark/>
                  </w:tcPr>
                  <w:p w:rsidR="00507B60" w:rsidRDefault="00507B60">
                    <w:pPr>
                      <w:pStyle w:val="Bibliography"/>
                      <w:rPr>
                        <w:rFonts w:eastAsiaTheme="minorEastAsia"/>
                        <w:noProof/>
                      </w:rPr>
                    </w:pPr>
                    <w:r>
                      <w:rPr>
                        <w:noProof/>
                      </w:rPr>
                      <w:t>Government of Canada, "Retail Trade," 2012. [Online]. Available: http://www.ic.gc.ca/eic/site/retra-comde.nsf/eng/Home.</w:t>
                    </w:r>
                  </w:p>
                </w:tc>
              </w:tr>
              <w:tr w:rsidR="00507B60">
                <w:trPr>
                  <w:divId w:val="1767967376"/>
                  <w:tblCellSpacing w:w="15" w:type="dxa"/>
                </w:trPr>
                <w:tc>
                  <w:tcPr>
                    <w:tcW w:w="50" w:type="pct"/>
                    <w:hideMark/>
                  </w:tcPr>
                  <w:p w:rsidR="00507B60" w:rsidRDefault="00507B60">
                    <w:pPr>
                      <w:pStyle w:val="Bibliography"/>
                      <w:rPr>
                        <w:rFonts w:eastAsiaTheme="minorEastAsia"/>
                        <w:noProof/>
                      </w:rPr>
                    </w:pPr>
                    <w:r>
                      <w:rPr>
                        <w:noProof/>
                      </w:rPr>
                      <w:t xml:space="preserve">[4] </w:t>
                    </w:r>
                  </w:p>
                </w:tc>
                <w:tc>
                  <w:tcPr>
                    <w:tcW w:w="0" w:type="auto"/>
                    <w:hideMark/>
                  </w:tcPr>
                  <w:p w:rsidR="00507B60" w:rsidRDefault="00507B60">
                    <w:pPr>
                      <w:pStyle w:val="Bibliography"/>
                      <w:rPr>
                        <w:rFonts w:eastAsiaTheme="minorEastAsia"/>
                        <w:noProof/>
                      </w:rPr>
                    </w:pPr>
                    <w:r>
                      <w:rPr>
                        <w:noProof/>
                      </w:rPr>
                      <w:t>Government of Canada, "Pharmaceutical Industry Profile," 2012. [Online]. Available: http://www.ic.gc.ca/eic/site/lsg-pdsv.nsf/eng/h_hn01703.html.</w:t>
                    </w:r>
                  </w:p>
                </w:tc>
              </w:tr>
            </w:tbl>
            <w:p w:rsidR="00507B60" w:rsidRDefault="00507B60">
              <w:pPr>
                <w:divId w:val="1767967376"/>
                <w:rPr>
                  <w:rFonts w:eastAsia="Times New Roman"/>
                  <w:noProof/>
                </w:rPr>
              </w:pPr>
            </w:p>
            <w:p w:rsidR="002E1784" w:rsidRDefault="002E1784" w:rsidP="002E1784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:rsidR="002E1784" w:rsidRDefault="002E1784"/>
    <w:sectPr w:rsidR="002E1784" w:rsidSect="00BA2B71">
      <w:pgSz w:w="12240" w:h="15840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E11"/>
    <w:rsid w:val="00066309"/>
    <w:rsid w:val="000852EE"/>
    <w:rsid w:val="000D3CD1"/>
    <w:rsid w:val="002E1784"/>
    <w:rsid w:val="00507B60"/>
    <w:rsid w:val="005714ED"/>
    <w:rsid w:val="00A43E11"/>
    <w:rsid w:val="00BA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2B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A2B71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A2B71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B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2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A2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ibliography">
    <w:name w:val="Bibliography"/>
    <w:basedOn w:val="Normal"/>
    <w:next w:val="Normal"/>
    <w:uiPriority w:val="37"/>
    <w:unhideWhenUsed/>
    <w:rsid w:val="002E1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2B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A2B71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A2B71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B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2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A2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ibliography">
    <w:name w:val="Bibliography"/>
    <w:basedOn w:val="Normal"/>
    <w:next w:val="Normal"/>
    <w:uiPriority w:val="37"/>
    <w:unhideWhenUsed/>
    <w:rsid w:val="002E1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A361AC6F1FD438396477944D0848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08436-A007-4E09-83C6-B56245BA1F0B}"/>
      </w:docPartPr>
      <w:docPartBody>
        <w:p w:rsidR="00000000" w:rsidRDefault="00893392" w:rsidP="00893392">
          <w:pPr>
            <w:pStyle w:val="DA361AC6F1FD438396477944D0848AE7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C7F50824E51C4C2E91A30516A63B1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3FFF9B-963A-43D3-8F7B-92BA8C23B4FC}"/>
      </w:docPartPr>
      <w:docPartBody>
        <w:p w:rsidR="00000000" w:rsidRDefault="00893392" w:rsidP="00893392">
          <w:pPr>
            <w:pStyle w:val="C7F50824E51C4C2E91A30516A63B1933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8EC91FD5A4DF49278B1B2F3D0E9B45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96E06B-44C0-4D64-80B8-7120FDB75245}"/>
      </w:docPartPr>
      <w:docPartBody>
        <w:p w:rsidR="00000000" w:rsidRDefault="00893392" w:rsidP="00893392">
          <w:pPr>
            <w:pStyle w:val="8EC91FD5A4DF49278B1B2F3D0E9B452F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392"/>
    <w:rsid w:val="003D2488"/>
    <w:rsid w:val="0089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361AC6F1FD438396477944D0848AE7">
    <w:name w:val="DA361AC6F1FD438396477944D0848AE7"/>
    <w:rsid w:val="00893392"/>
  </w:style>
  <w:style w:type="paragraph" w:customStyle="1" w:styleId="C7F50824E51C4C2E91A30516A63B1933">
    <w:name w:val="C7F50824E51C4C2E91A30516A63B1933"/>
    <w:rsid w:val="00893392"/>
  </w:style>
  <w:style w:type="paragraph" w:customStyle="1" w:styleId="8EC91FD5A4DF49278B1B2F3D0E9B452F">
    <w:name w:val="8EC91FD5A4DF49278B1B2F3D0E9B452F"/>
    <w:rsid w:val="00893392"/>
  </w:style>
  <w:style w:type="paragraph" w:customStyle="1" w:styleId="B9D6E3639CA647A2A2679FC7347D43AE">
    <w:name w:val="B9D6E3639CA647A2A2679FC7347D43AE"/>
    <w:rsid w:val="00893392"/>
  </w:style>
  <w:style w:type="paragraph" w:customStyle="1" w:styleId="DB59E33B17C94526814D652017CF2743">
    <w:name w:val="DB59E33B17C94526814D652017CF2743"/>
    <w:rsid w:val="00893392"/>
  </w:style>
  <w:style w:type="paragraph" w:customStyle="1" w:styleId="7FDA37744F994138A3CA33CF8610E904">
    <w:name w:val="7FDA37744F994138A3CA33CF8610E904"/>
    <w:rsid w:val="0089339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361AC6F1FD438396477944D0848AE7">
    <w:name w:val="DA361AC6F1FD438396477944D0848AE7"/>
    <w:rsid w:val="00893392"/>
  </w:style>
  <w:style w:type="paragraph" w:customStyle="1" w:styleId="C7F50824E51C4C2E91A30516A63B1933">
    <w:name w:val="C7F50824E51C4C2E91A30516A63B1933"/>
    <w:rsid w:val="00893392"/>
  </w:style>
  <w:style w:type="paragraph" w:customStyle="1" w:styleId="8EC91FD5A4DF49278B1B2F3D0E9B452F">
    <w:name w:val="8EC91FD5A4DF49278B1B2F3D0E9B452F"/>
    <w:rsid w:val="00893392"/>
  </w:style>
  <w:style w:type="paragraph" w:customStyle="1" w:styleId="B9D6E3639CA647A2A2679FC7347D43AE">
    <w:name w:val="B9D6E3639CA647A2A2679FC7347D43AE"/>
    <w:rsid w:val="00893392"/>
  </w:style>
  <w:style w:type="paragraph" w:customStyle="1" w:styleId="DB59E33B17C94526814D652017CF2743">
    <w:name w:val="DB59E33B17C94526814D652017CF2743"/>
    <w:rsid w:val="00893392"/>
  </w:style>
  <w:style w:type="paragraph" w:customStyle="1" w:styleId="7FDA37744F994138A3CA33CF8610E904">
    <w:name w:val="7FDA37744F994138A3CA33CF8610E904"/>
    <w:rsid w:val="008933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>
  <b:Source>
    <b:Tag>Gov12</b:Tag>
    <b:SourceType>InternetSite</b:SourceType>
    <b:Guid>{AE0EDBB6-702A-49B9-9CDC-4BFE20AAD8DB}</b:Guid>
    <b:Title>Pharmaceutical Industry Profile</b:Title>
    <b:Year>2012</b:Year>
    <b:Author>
      <b:Author>
        <b:Corporate>Government of Canada</b:Corporate>
      </b:Author>
    </b:Author>
    <b:InternetSiteTitle>Industry Canada</b:InternetSiteTitle>
    <b:URL>http://www.ic.gc.ca/eic/site/lsg-pdsv.nsf/eng/h_hn01703.html</b:URL>
    <b:RefOrder>4</b:RefOrder>
  </b:Source>
  <b:Source>
    <b:Tag>Gov121</b:Tag>
    <b:SourceType>InternetSite</b:SourceType>
    <b:Guid>{90E2FEB5-89E0-465E-BB30-010AAF7CCF41}</b:Guid>
    <b:Author>
      <b:Author>
        <b:Corporate>Government of Canada</b:Corporate>
      </b:Author>
    </b:Author>
    <b:Title>Retail Trade</b:Title>
    <b:InternetSiteTitle>Industry Canada</b:InternetSiteTitle>
    <b:Year>2012</b:Year>
    <b:URL>http://www.ic.gc.ca/eic/site/retra-comde.nsf/eng/Home</b:URL>
    <b:RefOrder>3</b:RefOrder>
  </b:Source>
  <b:Source>
    <b:Tag>Arm13</b:Tag>
    <b:SourceType>InternetSite</b:SourceType>
    <b:Guid>{A9E080D5-D6B1-45CA-B57A-C721765ABCBB}</b:Guid>
    <b:Author>
      <b:Author>
        <b:NameList>
          <b:Person>
            <b:Last>Ligaya</b:Last>
            <b:First>Armina</b:First>
          </b:Person>
        </b:NameList>
      </b:Author>
    </b:Author>
    <b:Title>Loblaw to buy Shoppers Drug Mart for $13.4 Billion</b:Title>
    <b:InternetSiteTitle>Financial Post</b:InternetSiteTitle>
    <b:Year>2013</b:Year>
    <b:URL>http://business.financialpost.com/2013/07/15/loblaw-to-buy-shoppers-drug-mart-for/</b:URL>
    <b:RefOrder>2</b:RefOrder>
  </b:Source>
  <b:Source>
    <b:Tag>Sho12</b:Tag>
    <b:SourceType>InternetSite</b:SourceType>
    <b:Guid>{B2D3E64F-251E-4726-8ED4-15849AA5BF38}</b:Guid>
    <b:Author>
      <b:Author>
        <b:Corporate>Shoppers Drug Mart</b:Corporate>
      </b:Author>
    </b:Author>
    <b:Title>Corporate Profile</b:Title>
    <b:InternetSiteTitle>Shoppers Drug Mart</b:InternetSiteTitle>
    <b:Year>2012</b:Year>
    <b:URL>http://www.shoppersdrugmart.ca/english/corporate_information/investor_relations/</b:URL>
    <b:RefOrder>1</b:RefOrder>
  </b:Source>
</b:Sources>
</file>

<file path=customXml/itemProps1.xml><?xml version="1.0" encoding="utf-8"?>
<ds:datastoreItem xmlns:ds="http://schemas.openxmlformats.org/officeDocument/2006/customXml" ds:itemID="{61F375F5-C3DD-4E9D-BB0E-06735880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UOIT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Strategic Management</dc:title>
  <dc:subject>How Shoppers Drug Mart Operates in the Retail and Drugstore Industry</dc:subject>
  <dc:creator>mobilef</dc:creator>
  <cp:keywords/>
  <dc:description/>
  <cp:lastModifiedBy>mobilef</cp:lastModifiedBy>
  <cp:revision>2</cp:revision>
  <dcterms:created xsi:type="dcterms:W3CDTF">2013-11-19T19:37:00Z</dcterms:created>
  <dcterms:modified xsi:type="dcterms:W3CDTF">2013-11-19T20:40:00Z</dcterms:modified>
</cp:coreProperties>
</file>