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3E4" w:rsidRDefault="002D43E4" w:rsidP="00F7660D">
      <w:pPr>
        <w:spacing w:line="480" w:lineRule="auto"/>
        <w:rPr>
          <w:b/>
        </w:rPr>
      </w:pPr>
      <w:r>
        <w:rPr>
          <w:b/>
        </w:rPr>
        <w:t>Title</w:t>
      </w:r>
    </w:p>
    <w:p w:rsidR="002D43E4" w:rsidRPr="00401785" w:rsidRDefault="00F7660D" w:rsidP="00F7660D">
      <w:pPr>
        <w:spacing w:line="480" w:lineRule="auto"/>
      </w:pPr>
      <w:r>
        <w:t>Synthesis</w:t>
      </w:r>
      <w:r w:rsidR="002D43E4">
        <w:t xml:space="preserve"> of NMP</w:t>
      </w:r>
      <w:r w:rsidR="00AF394B">
        <w:t xml:space="preserve"> </w:t>
      </w:r>
      <w:r w:rsidR="002D43E4">
        <w:t xml:space="preserve">from </w:t>
      </w:r>
      <w:r w:rsidR="00AC34D7" w:rsidRPr="00AC34D7">
        <w:t>3-dimethylaminopropiophenone</w:t>
      </w:r>
      <w:r w:rsidR="0044796A">
        <w:t xml:space="preserve"> hydrochloride</w:t>
      </w:r>
    </w:p>
    <w:p w:rsidR="000376B5" w:rsidRPr="00891A82" w:rsidRDefault="00D238B9" w:rsidP="00F7660D">
      <w:pPr>
        <w:spacing w:line="480" w:lineRule="auto"/>
        <w:rPr>
          <w:b/>
        </w:rPr>
      </w:pPr>
      <w:r w:rsidRPr="00891A82">
        <w:rPr>
          <w:b/>
        </w:rPr>
        <w:t>Introduction</w:t>
      </w:r>
    </w:p>
    <w:p w:rsidR="00D238B9" w:rsidRDefault="0044796A" w:rsidP="00F7660D">
      <w:pPr>
        <w:spacing w:line="480" w:lineRule="auto"/>
      </w:pPr>
      <w:r>
        <w:t>The synthesis of NMP</w:t>
      </w:r>
      <w:r w:rsidR="006A7FD4">
        <w:t xml:space="preserve"> </w:t>
      </w:r>
      <w:r>
        <w:t xml:space="preserve">is prepared in a two-step synthesis, starting from </w:t>
      </w:r>
      <w:r w:rsidRPr="00AC34D7">
        <w:t>3-dimethylaminopropiophenone</w:t>
      </w:r>
      <w:r>
        <w:t xml:space="preserve"> hydrochloride</w:t>
      </w:r>
      <w:r w:rsidR="006A7FD4">
        <w:t xml:space="preserve">. The first reaction combines </w:t>
      </w:r>
      <w:r w:rsidR="006A7FD4" w:rsidRPr="00AC34D7">
        <w:t>3-dimethylaminopropiophenone</w:t>
      </w:r>
      <w:r w:rsidR="006764E8">
        <w:t xml:space="preserve"> hydrochloride</w:t>
      </w:r>
      <w:r w:rsidR="006A7FD4">
        <w:t xml:space="preserve"> with sodium </w:t>
      </w:r>
      <w:proofErr w:type="spellStart"/>
      <w:r w:rsidR="006A7FD4">
        <w:t>borohydride</w:t>
      </w:r>
      <w:proofErr w:type="spellEnd"/>
      <w:r w:rsidR="006A7FD4">
        <w:t xml:space="preserve"> to convert the carbonyl into an alcohol.</w:t>
      </w:r>
      <w:r w:rsidR="00621DB9">
        <w:t xml:space="preserve"> In the second reaction, the alcohol is deprotonated and 4-chlorobenzotrifluoride is added, which reacts with the electron-rich oxygen and expels the </w:t>
      </w:r>
      <w:proofErr w:type="spellStart"/>
      <w:r w:rsidR="00621DB9">
        <w:t>Cl</w:t>
      </w:r>
      <w:proofErr w:type="spellEnd"/>
      <w:r w:rsidR="00621DB9" w:rsidRPr="003D1B05">
        <w:rPr>
          <w:vertAlign w:val="superscript"/>
        </w:rPr>
        <w:t>-</w:t>
      </w:r>
      <w:r w:rsidR="00621DB9">
        <w:t>, giving the final product, NMP.</w:t>
      </w:r>
      <w:r w:rsidR="000767AD">
        <w:t xml:space="preserve"> One more step can be added to crea</w:t>
      </w:r>
      <w:r w:rsidR="00614E2D">
        <w:t>te the oxalic salt of NMP, in which case,</w:t>
      </w:r>
      <w:r w:rsidR="000767AD">
        <w:t xml:space="preserve"> oxalic acid is added to NMP</w:t>
      </w:r>
      <w:r w:rsidR="00614E2D">
        <w:t xml:space="preserve"> to form </w:t>
      </w:r>
      <w:r w:rsidR="006764E8">
        <w:t xml:space="preserve">the </w:t>
      </w:r>
      <w:r w:rsidR="00614E2D">
        <w:t>said salt.</w:t>
      </w:r>
    </w:p>
    <w:p w:rsidR="00C5365D" w:rsidRPr="00F701D1" w:rsidRDefault="0049269F" w:rsidP="00F7660D">
      <w:pPr>
        <w:spacing w:line="480" w:lineRule="auto"/>
      </w:pPr>
      <w:r>
        <w:tab/>
        <w:t xml:space="preserve">The first reaction occurs by </w:t>
      </w:r>
      <w:r w:rsidR="00CB5906">
        <w:t>carbonyl reduction</w:t>
      </w:r>
      <w:r>
        <w:t xml:space="preserve"> using NaBH</w:t>
      </w:r>
      <w:r>
        <w:rPr>
          <w:vertAlign w:val="subscript"/>
        </w:rPr>
        <w:t>4</w:t>
      </w:r>
      <w:r w:rsidR="00CB5906">
        <w:t>.</w:t>
      </w:r>
      <w:r w:rsidR="001212E7">
        <w:t xml:space="preserve"> The B-H bond attacks the carbon, detaching </w:t>
      </w:r>
      <w:r w:rsidR="00F701D1">
        <w:t>itself and forming</w:t>
      </w:r>
      <w:r w:rsidR="001212E7">
        <w:t xml:space="preserve"> </w:t>
      </w:r>
      <w:r w:rsidR="00F701D1">
        <w:t>Na</w:t>
      </w:r>
      <w:r w:rsidR="001212E7">
        <w:t>BH</w:t>
      </w:r>
      <w:r w:rsidR="001212E7">
        <w:rPr>
          <w:vertAlign w:val="subscript"/>
        </w:rPr>
        <w:t>3</w:t>
      </w:r>
      <w:r w:rsidR="001212E7">
        <w:rPr>
          <w:vertAlign w:val="superscript"/>
        </w:rPr>
        <w:t>-</w:t>
      </w:r>
      <w:r w:rsidR="00F701D1">
        <w:t>. As a result of this attack, the oxygen breaks one of its bonds, and therefore needs something</w:t>
      </w:r>
      <w:r w:rsidR="00A46ADE">
        <w:t xml:space="preserve"> (preferably a hydrogen atom)</w:t>
      </w:r>
      <w:r w:rsidR="00F701D1">
        <w:t xml:space="preserve"> to become stable again. When </w:t>
      </w:r>
      <w:proofErr w:type="spellStart"/>
      <w:r w:rsidR="00F701D1">
        <w:t>HCl</w:t>
      </w:r>
      <w:proofErr w:type="spellEnd"/>
      <w:r w:rsidR="00F701D1">
        <w:t xml:space="preserve"> is added</w:t>
      </w:r>
      <w:r w:rsidR="00050E0B">
        <w:t>, oxygen</w:t>
      </w:r>
      <w:r w:rsidR="00F701D1">
        <w:t xml:space="preserve"> grabs the hydrogen, protonating itself, thereby resulting in a secondary alcohol.</w:t>
      </w:r>
    </w:p>
    <w:p w:rsidR="006E0BBF" w:rsidRDefault="00E1676B" w:rsidP="00F7660D">
      <w:pPr>
        <w:spacing w:line="480" w:lineRule="auto"/>
      </w:pPr>
      <w:r>
        <w:t xml:space="preserve">Carbonyl </w:t>
      </w:r>
      <w:r w:rsidR="006E0BBF">
        <w:t>Reduction</w:t>
      </w:r>
    </w:p>
    <w:p w:rsidR="006E0BBF" w:rsidRDefault="006E0BBF" w:rsidP="00F7660D">
      <w:pPr>
        <w:spacing w:line="480" w:lineRule="auto"/>
      </w:pPr>
      <w:r>
        <w:object w:dxaOrig="8880" w:dyaOrig="30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25pt;height:150pt" o:ole="">
            <v:imagedata r:id="rId7" o:title=""/>
          </v:shape>
          <o:OLEObject Type="Embed" ProgID="ACD.ChemSketch.20" ShapeID="_x0000_i1025" DrawAspect="Content" ObjectID="_1461445510" r:id="rId8"/>
        </w:object>
      </w:r>
    </w:p>
    <w:p w:rsidR="00467866" w:rsidRPr="00590BA1" w:rsidRDefault="00467866" w:rsidP="002A2391">
      <w:pPr>
        <w:spacing w:line="480" w:lineRule="auto"/>
      </w:pPr>
      <w:r>
        <w:lastRenderedPageBreak/>
        <w:tab/>
        <w:t xml:space="preserve">The second reaction occurs by </w:t>
      </w:r>
      <w:proofErr w:type="spellStart"/>
      <w:r w:rsidR="00C500E5">
        <w:t>n</w:t>
      </w:r>
      <w:r w:rsidRPr="00467866">
        <w:t>ucleophilic</w:t>
      </w:r>
      <w:proofErr w:type="spellEnd"/>
      <w:r w:rsidRPr="00467866">
        <w:t xml:space="preserve"> aromatic substitution</w:t>
      </w:r>
      <w:r w:rsidR="008D25DB">
        <w:t>. After the alc</w:t>
      </w:r>
      <w:r w:rsidR="003D1B05">
        <w:t xml:space="preserve">ohol has been deprotonated via the use of </w:t>
      </w:r>
      <w:r w:rsidR="00F859E1">
        <w:t>potassium t-</w:t>
      </w:r>
      <w:proofErr w:type="spellStart"/>
      <w:r w:rsidR="00F859E1">
        <w:t>butoxide</w:t>
      </w:r>
      <w:proofErr w:type="spellEnd"/>
      <w:r w:rsidR="003D1B05">
        <w:t xml:space="preserve">, 4-chlorobenzotrifluoride is added, which results in </w:t>
      </w:r>
      <w:proofErr w:type="spellStart"/>
      <w:r w:rsidR="003D1B05">
        <w:t>nucleophilic</w:t>
      </w:r>
      <w:proofErr w:type="spellEnd"/>
      <w:r w:rsidR="003D1B05">
        <w:t xml:space="preserve"> a</w:t>
      </w:r>
      <w:r w:rsidR="00590BA1">
        <w:t xml:space="preserve">romatic substitution occurring. </w:t>
      </w:r>
      <w:r w:rsidR="002A2391">
        <w:t xml:space="preserve">The </w:t>
      </w:r>
      <w:proofErr w:type="spellStart"/>
      <w:r w:rsidR="002A2391">
        <w:t>alkoxide</w:t>
      </w:r>
      <w:proofErr w:type="spellEnd"/>
      <w:r w:rsidR="002A2391">
        <w:t xml:space="preserve"> ion of the reduced carbonyl group, formed by </w:t>
      </w:r>
      <w:proofErr w:type="spellStart"/>
      <w:r w:rsidR="002A2391">
        <w:t>deprotonation</w:t>
      </w:r>
      <w:proofErr w:type="spellEnd"/>
      <w:r w:rsidR="002A2391">
        <w:t xml:space="preserve"> using K t-</w:t>
      </w:r>
      <w:proofErr w:type="spellStart"/>
      <w:r w:rsidR="002A2391">
        <w:t>butoxide</w:t>
      </w:r>
      <w:proofErr w:type="spellEnd"/>
      <w:r w:rsidR="002A2391">
        <w:t xml:space="preserve">, can </w:t>
      </w:r>
      <w:r w:rsidR="002A2391">
        <w:t xml:space="preserve">displace the </w:t>
      </w:r>
      <w:proofErr w:type="spellStart"/>
      <w:r w:rsidR="002A2391">
        <w:t>Cl</w:t>
      </w:r>
      <w:proofErr w:type="spellEnd"/>
      <w:r w:rsidR="002A2391">
        <w:t xml:space="preserve"> from the benzene ring only because </w:t>
      </w:r>
      <w:r w:rsidR="002A2391">
        <w:t xml:space="preserve">of the presence of the electron </w:t>
      </w:r>
      <w:r w:rsidR="002A2391">
        <w:t xml:space="preserve">withdrawing CF group. </w:t>
      </w:r>
      <w:r w:rsidR="00590BA1">
        <w:t xml:space="preserve">The deprotonated oxygen attacks the carbon with the halogen, which results in a </w:t>
      </w:r>
      <w:proofErr w:type="spellStart"/>
      <w:r w:rsidR="00590BA1">
        <w:t>Meisenheimer</w:t>
      </w:r>
      <w:proofErr w:type="spellEnd"/>
      <w:r w:rsidR="00590BA1">
        <w:t xml:space="preserve"> complex. Eventually, one of the resonance structures in the </w:t>
      </w:r>
      <w:proofErr w:type="spellStart"/>
      <w:r w:rsidR="00590BA1">
        <w:t>Meisenheimer</w:t>
      </w:r>
      <w:proofErr w:type="spellEnd"/>
      <w:r w:rsidR="00590BA1">
        <w:t xml:space="preserve"> complex allows for the reaction to continue, kicking off the </w:t>
      </w:r>
      <w:proofErr w:type="spellStart"/>
      <w:r w:rsidR="00590BA1">
        <w:t>Cl</w:t>
      </w:r>
      <w:proofErr w:type="spellEnd"/>
      <w:r w:rsidR="00590BA1">
        <w:rPr>
          <w:vertAlign w:val="superscript"/>
        </w:rPr>
        <w:t xml:space="preserve">- </w:t>
      </w:r>
      <w:r w:rsidR="00590BA1">
        <w:t>and resulting in, this case, NMP.</w:t>
      </w:r>
    </w:p>
    <w:p w:rsidR="000D0B94" w:rsidRDefault="000D0B94" w:rsidP="00F7660D">
      <w:pPr>
        <w:spacing w:line="480" w:lineRule="auto"/>
      </w:pPr>
      <w:proofErr w:type="spellStart"/>
      <w:r>
        <w:t>Nucleophilic</w:t>
      </w:r>
      <w:proofErr w:type="spellEnd"/>
      <w:r>
        <w:t xml:space="preserve"> aromatic substitution</w:t>
      </w:r>
    </w:p>
    <w:p w:rsidR="000D0B94" w:rsidRDefault="000D0B94" w:rsidP="00F7660D">
      <w:pPr>
        <w:spacing w:line="480" w:lineRule="auto"/>
      </w:pPr>
      <w:r>
        <w:object w:dxaOrig="11431" w:dyaOrig="4306">
          <v:shape id="_x0000_i1026" type="#_x0000_t75" style="width:431.25pt;height:162.75pt" o:ole="">
            <v:imagedata r:id="rId9" o:title=""/>
          </v:shape>
          <o:OLEObject Type="Embed" ProgID="ACD.ChemSketch.20" ShapeID="_x0000_i1026" DrawAspect="Content" ObjectID="_1461445511" r:id="rId10"/>
        </w:object>
      </w:r>
    </w:p>
    <w:p w:rsidR="00C40F67" w:rsidRPr="0049269F" w:rsidRDefault="00952D80" w:rsidP="00C40F67">
      <w:pPr>
        <w:spacing w:line="480" w:lineRule="auto"/>
      </w:pPr>
      <w:r>
        <w:t>The expected</w:t>
      </w:r>
      <w:r w:rsidR="00C40F67">
        <w:t xml:space="preserve"> product, NMP, was characterized by melting point and IR spectroscopy.</w:t>
      </w:r>
    </w:p>
    <w:p w:rsidR="00D238B9" w:rsidRDefault="00D238B9" w:rsidP="00F7660D">
      <w:pPr>
        <w:spacing w:line="480" w:lineRule="auto"/>
        <w:rPr>
          <w:b/>
        </w:rPr>
      </w:pPr>
      <w:r w:rsidRPr="00891A82">
        <w:rPr>
          <w:b/>
        </w:rPr>
        <w:t>Experimental</w:t>
      </w:r>
    </w:p>
    <w:p w:rsidR="00BE1243" w:rsidRDefault="002B20E7" w:rsidP="00F7660D">
      <w:pPr>
        <w:spacing w:line="480" w:lineRule="auto"/>
        <w:rPr>
          <w:i/>
        </w:rPr>
      </w:pPr>
      <w:r>
        <w:rPr>
          <w:i/>
        </w:rPr>
        <w:t xml:space="preserve">A – </w:t>
      </w:r>
      <w:r w:rsidR="00BE1243">
        <w:rPr>
          <w:i/>
        </w:rPr>
        <w:t>Synthesis</w:t>
      </w:r>
      <w:r>
        <w:rPr>
          <w:i/>
        </w:rPr>
        <w:t xml:space="preserve"> of </w:t>
      </w:r>
      <w:r w:rsidR="00BE1243" w:rsidRPr="00BE1243">
        <w:rPr>
          <w:i/>
        </w:rPr>
        <w:t>3-</w:t>
      </w:r>
      <w:r w:rsidR="00BE1243">
        <w:rPr>
          <w:i/>
        </w:rPr>
        <w:t>(</w:t>
      </w:r>
      <w:proofErr w:type="spellStart"/>
      <w:r w:rsidR="00BE1243">
        <w:rPr>
          <w:i/>
        </w:rPr>
        <w:t>dimethylamin</w:t>
      </w:r>
      <w:r w:rsidR="00B165E8">
        <w:rPr>
          <w:i/>
        </w:rPr>
        <w:t>o</w:t>
      </w:r>
      <w:proofErr w:type="spellEnd"/>
      <w:r w:rsidR="00B165E8">
        <w:rPr>
          <w:i/>
        </w:rPr>
        <w:t>)-1-phenylpropanol</w:t>
      </w:r>
    </w:p>
    <w:p w:rsidR="005C22D0" w:rsidRPr="005C22D0" w:rsidRDefault="005C22D0" w:rsidP="00F7660D">
      <w:pPr>
        <w:spacing w:line="480" w:lineRule="auto"/>
      </w:pPr>
      <w:r>
        <w:t xml:space="preserve">3-dimethylaminopropiophenone hydrochloride (2.08 g, 9.73 </w:t>
      </w:r>
      <w:proofErr w:type="spellStart"/>
      <w:r>
        <w:t>mmol</w:t>
      </w:r>
      <w:proofErr w:type="spellEnd"/>
      <w:r>
        <w:t xml:space="preserve">) was stirred with water (10 mL). Then, 10% sodium hydroxide (6 mL) was added in order to bring the pH below </w:t>
      </w:r>
      <w:r w:rsidR="006E4A10">
        <w:t xml:space="preserve">10. The product changed to </w:t>
      </w:r>
      <w:proofErr w:type="gramStart"/>
      <w:r w:rsidR="006E4A10">
        <w:t>a milky</w:t>
      </w:r>
      <w:proofErr w:type="gramEnd"/>
      <w:r w:rsidR="006E4A10">
        <w:t xml:space="preserve"> oil, which then changed back to a clear solution once 95% ethanol (10 mL) was added. In a separate beaker, water (10 mL), 10% </w:t>
      </w:r>
      <w:r w:rsidR="006E4A10">
        <w:lastRenderedPageBreak/>
        <w:t xml:space="preserve">sodium hydroxide (4 drops), and sodium </w:t>
      </w:r>
      <w:proofErr w:type="spellStart"/>
      <w:r w:rsidR="006E4A10">
        <w:t>borohydride</w:t>
      </w:r>
      <w:proofErr w:type="spellEnd"/>
      <w:r w:rsidR="006E4A10">
        <w:t xml:space="preserve"> (0.41 g</w:t>
      </w:r>
      <w:r w:rsidR="00602CE6">
        <w:t xml:space="preserve">, 10.8 </w:t>
      </w:r>
      <w:proofErr w:type="spellStart"/>
      <w:r w:rsidR="00602CE6">
        <w:t>mmol</w:t>
      </w:r>
      <w:proofErr w:type="spellEnd"/>
      <w:r w:rsidR="006E4A10">
        <w:t xml:space="preserve">) were mixed and dissolved together. The two beakers were then added together, stirred for ~15 minutes, and hydrochloric acid (5 mL) was added until the reaction was complete, i.e., fizzing stopped. Sodium hydroxide (20 mL) was added to make the solution basic, </w:t>
      </w:r>
      <w:r w:rsidR="00F72082">
        <w:t>and then</w:t>
      </w:r>
      <w:r w:rsidR="006E4A10">
        <w:t xml:space="preserve"> the solution was added into a </w:t>
      </w:r>
      <w:proofErr w:type="spellStart"/>
      <w:r w:rsidR="006E4A10">
        <w:t>separatory</w:t>
      </w:r>
      <w:proofErr w:type="spellEnd"/>
      <w:r w:rsidR="006E4A10">
        <w:t xml:space="preserve"> funnel alongside diethyl ether (20 mL). The two were then separated, and then the same process was repeated again with more diethyl ether (10 mL). The ether layers were </w:t>
      </w:r>
      <w:r w:rsidR="00C74FE0">
        <w:t>mixed tog</w:t>
      </w:r>
      <w:r w:rsidR="006E4A10">
        <w:t>et</w:t>
      </w:r>
      <w:r w:rsidR="00C74FE0">
        <w:t>h</w:t>
      </w:r>
      <w:r w:rsidR="006E4A10">
        <w:t>er, dried with magn</w:t>
      </w:r>
      <w:r w:rsidR="004C497E">
        <w:t>esium sulfate, and</w:t>
      </w:r>
      <w:r w:rsidR="00F80F8D">
        <w:t xml:space="preserve"> then </w:t>
      </w:r>
      <w:proofErr w:type="spellStart"/>
      <w:r w:rsidR="00F80F8D">
        <w:t>RotaVapped</w:t>
      </w:r>
      <w:proofErr w:type="spellEnd"/>
      <w:r w:rsidR="00F80F8D">
        <w:t>.</w:t>
      </w:r>
      <w:r w:rsidR="000D0A1D">
        <w:t xml:space="preserve"> An IR was taken</w:t>
      </w:r>
      <w:r w:rsidR="007D6B84">
        <w:t xml:space="preserve"> for characterization</w:t>
      </w:r>
      <w:r w:rsidR="000D0A1D">
        <w:t>, and then t</w:t>
      </w:r>
      <w:r w:rsidR="00F80F8D">
        <w:t xml:space="preserve">he </w:t>
      </w:r>
      <w:r w:rsidR="00CA20DD">
        <w:t xml:space="preserve">crude </w:t>
      </w:r>
      <w:r w:rsidR="00F80F8D">
        <w:t>oil</w:t>
      </w:r>
      <w:r w:rsidR="0041302C">
        <w:t xml:space="preserve"> was then left for a week.</w:t>
      </w:r>
    </w:p>
    <w:p w:rsidR="00BE1243" w:rsidRPr="002B20E7" w:rsidRDefault="00BE1243" w:rsidP="00F7660D">
      <w:pPr>
        <w:spacing w:line="480" w:lineRule="auto"/>
        <w:rPr>
          <w:i/>
        </w:rPr>
      </w:pPr>
      <w:r>
        <w:rPr>
          <w:i/>
        </w:rPr>
        <w:t>B – Synthesis of NMP</w:t>
      </w:r>
    </w:p>
    <w:p w:rsidR="00D238B9" w:rsidRDefault="002F26E5" w:rsidP="00F7660D">
      <w:pPr>
        <w:spacing w:line="480" w:lineRule="auto"/>
      </w:pPr>
      <w:r>
        <w:t xml:space="preserve">The oil compound was mixed with 4-chlorobenzotrifluoride (4 mL), </w:t>
      </w:r>
      <w:proofErr w:type="spellStart"/>
      <w:r>
        <w:t>dimethylacetamide</w:t>
      </w:r>
      <w:proofErr w:type="spellEnd"/>
      <w:r>
        <w:t xml:space="preserve"> (30 mL), and potassium t-</w:t>
      </w:r>
      <w:proofErr w:type="spellStart"/>
      <w:r>
        <w:t>butoxide</w:t>
      </w:r>
      <w:proofErr w:type="spellEnd"/>
      <w:r>
        <w:t xml:space="preserve"> (30 mL). Slow distillation was done for an hour and ten minutes to collect ~50mL of the t-</w:t>
      </w:r>
      <w:r w:rsidR="00A943B7">
        <w:t>butyl alcohol.</w:t>
      </w:r>
      <w:r w:rsidR="0046784F">
        <w:t xml:space="preserve"> Water (40 mL) and </w:t>
      </w:r>
      <w:proofErr w:type="spellStart"/>
      <w:r w:rsidR="0046784F">
        <w:t>tetrahydrofuran</w:t>
      </w:r>
      <w:proofErr w:type="spellEnd"/>
      <w:r w:rsidR="0046784F">
        <w:t xml:space="preserve"> (30 mL) were mixed together in a </w:t>
      </w:r>
      <w:proofErr w:type="spellStart"/>
      <w:r w:rsidR="0046784F">
        <w:t>separatory</w:t>
      </w:r>
      <w:proofErr w:type="spellEnd"/>
      <w:r w:rsidR="0046784F">
        <w:t xml:space="preserve"> funnel, </w:t>
      </w:r>
      <w:r w:rsidR="000D0A1D">
        <w:t>and then</w:t>
      </w:r>
      <w:r w:rsidR="0046784F">
        <w:t xml:space="preserve"> mixed with saturated sodium chloride (20 mL) to achieve the “ether” solution, since diethyl ether was not available.</w:t>
      </w:r>
      <w:r w:rsidR="000D0A1D">
        <w:t xml:space="preserve"> The solution was dried with magnesium sulfate.</w:t>
      </w:r>
      <w:r w:rsidR="007D6B84">
        <w:t xml:space="preserve"> An IR was taken for characterization.</w:t>
      </w:r>
    </w:p>
    <w:p w:rsidR="007D6B84" w:rsidRDefault="007D6B84" w:rsidP="00F7660D">
      <w:pPr>
        <w:spacing w:line="480" w:lineRule="auto"/>
        <w:rPr>
          <w:i/>
        </w:rPr>
      </w:pPr>
      <w:r>
        <w:rPr>
          <w:i/>
        </w:rPr>
        <w:t>C – Synthesis of the oxalate salt of NMP</w:t>
      </w:r>
    </w:p>
    <w:p w:rsidR="007D6B84" w:rsidRPr="007D6B84" w:rsidRDefault="00792959" w:rsidP="00F7660D">
      <w:pPr>
        <w:spacing w:line="480" w:lineRule="auto"/>
      </w:pPr>
      <w:r>
        <w:t xml:space="preserve">Oxalic acid (0.85 g, </w:t>
      </w:r>
      <w:r w:rsidR="00463F8D">
        <w:t xml:space="preserve">9.44 </w:t>
      </w:r>
      <w:proofErr w:type="spellStart"/>
      <w:r w:rsidR="00463F8D">
        <w:t>mmol</w:t>
      </w:r>
      <w:proofErr w:type="spellEnd"/>
      <w:r w:rsidR="00463F8D">
        <w:t>)</w:t>
      </w:r>
      <w:r w:rsidR="00B244DF">
        <w:t xml:space="preserve"> was mixed with absolute ethanol (15 mL), </w:t>
      </w:r>
      <w:r w:rsidR="00606F6C">
        <w:t>and then</w:t>
      </w:r>
      <w:r w:rsidR="00B244DF">
        <w:t xml:space="preserve"> the NMP ether solution was added drop</w:t>
      </w:r>
      <w:r w:rsidR="002D0693">
        <w:t>-</w:t>
      </w:r>
      <w:r w:rsidR="00B244DF">
        <w:t xml:space="preserve">wise. No precipitate formed until </w:t>
      </w:r>
      <w:r w:rsidR="00606F6C">
        <w:t xml:space="preserve">~5 minutes </w:t>
      </w:r>
      <w:r w:rsidR="00B244DF">
        <w:t xml:space="preserve">after all the NMP had been added. </w:t>
      </w:r>
      <w:r w:rsidR="001E78D8">
        <w:t>The crystals were collected by vacuum filtration using a Buchner funnel, then left to dry. The mass was recorded, one final IR spectrum was taken,</w:t>
      </w:r>
      <w:r w:rsidR="002D2BCC">
        <w:t xml:space="preserve"> a</w:t>
      </w:r>
      <w:r w:rsidR="00E15820">
        <w:t>nd melting point was recorded, which were a</w:t>
      </w:r>
      <w:r w:rsidR="002D2BCC">
        <w:t>ll used for characterization.</w:t>
      </w:r>
    </w:p>
    <w:p w:rsidR="00E26E54" w:rsidRDefault="0073228D" w:rsidP="0073228D">
      <w:pPr>
        <w:spacing w:line="480" w:lineRule="auto"/>
        <w:rPr>
          <w:b/>
        </w:rPr>
      </w:pPr>
      <w:r>
        <w:rPr>
          <w:b/>
        </w:rPr>
        <w:lastRenderedPageBreak/>
        <w:t>Results</w:t>
      </w:r>
    </w:p>
    <w:p w:rsidR="000276B4" w:rsidRPr="000276B4" w:rsidRDefault="000276B4" w:rsidP="0073228D">
      <w:pPr>
        <w:spacing w:line="480" w:lineRule="auto"/>
      </w:pPr>
      <w:proofErr w:type="gramStart"/>
      <w:r>
        <w:rPr>
          <w:b/>
        </w:rPr>
        <w:t>Table 1.</w:t>
      </w:r>
      <w:proofErr w:type="gramEnd"/>
      <w:r>
        <w:rPr>
          <w:b/>
        </w:rPr>
        <w:t xml:space="preserve"> </w:t>
      </w:r>
      <w:proofErr w:type="gramStart"/>
      <w:r>
        <w:t>Synthesis of NMP oxalate</w:t>
      </w:r>
      <w:proofErr w:type="gramEnd"/>
      <w:r>
        <w:t xml:space="preserve"> salt</w:t>
      </w:r>
      <w:r w:rsidR="00E65BDB">
        <w:t xml:space="preserve"> (4ox)</w:t>
      </w:r>
      <w:r>
        <w:t>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452"/>
        <w:gridCol w:w="4404"/>
      </w:tblGrid>
      <w:tr w:rsidR="000376B5" w:rsidTr="00C76A18">
        <w:tc>
          <w:tcPr>
            <w:tcW w:w="4452" w:type="dxa"/>
          </w:tcPr>
          <w:p w:rsidR="000376B5" w:rsidRDefault="006270CB" w:rsidP="000376B5">
            <w:r>
              <w:t>Compound</w:t>
            </w:r>
            <w:r w:rsidR="000376B5">
              <w:t xml:space="preserve"> identity</w:t>
            </w:r>
          </w:p>
        </w:tc>
        <w:tc>
          <w:tcPr>
            <w:tcW w:w="4404" w:type="dxa"/>
          </w:tcPr>
          <w:p w:rsidR="00E3231B" w:rsidRDefault="00E3231B" w:rsidP="000376B5">
            <w:r>
              <w:t>N-methyl-Prozac (NMP)</w:t>
            </w:r>
          </w:p>
          <w:p w:rsidR="000376B5" w:rsidRDefault="00547D0E" w:rsidP="000376B5">
            <w:r>
              <w:object w:dxaOrig="2790" w:dyaOrig="2160">
                <v:shape id="_x0000_i1027" type="#_x0000_t75" style="width:139.5pt;height:108pt" o:ole="">
                  <v:imagedata r:id="rId11" o:title=""/>
                </v:shape>
                <o:OLEObject Type="Embed" ProgID="PBrush" ShapeID="_x0000_i1027" DrawAspect="Content" ObjectID="_1461445512" r:id="rId12"/>
              </w:object>
            </w:r>
          </w:p>
        </w:tc>
      </w:tr>
      <w:tr w:rsidR="000376B5" w:rsidTr="00C76A18">
        <w:tc>
          <w:tcPr>
            <w:tcW w:w="4452" w:type="dxa"/>
          </w:tcPr>
          <w:p w:rsidR="000376B5" w:rsidRDefault="0052118E" w:rsidP="000376B5">
            <w:r>
              <w:t>Theoretical yield</w:t>
            </w:r>
          </w:p>
        </w:tc>
        <w:tc>
          <w:tcPr>
            <w:tcW w:w="4404" w:type="dxa"/>
          </w:tcPr>
          <w:p w:rsidR="000376B5" w:rsidRDefault="0052118E" w:rsidP="000376B5">
            <w:r>
              <w:t>3.03 g</w:t>
            </w:r>
          </w:p>
        </w:tc>
      </w:tr>
      <w:tr w:rsidR="000376B5" w:rsidTr="00C76A18">
        <w:tc>
          <w:tcPr>
            <w:tcW w:w="4452" w:type="dxa"/>
          </w:tcPr>
          <w:p w:rsidR="000376B5" w:rsidRDefault="000376B5" w:rsidP="000376B5">
            <w:r>
              <w:t>Mass recovered</w:t>
            </w:r>
          </w:p>
        </w:tc>
        <w:tc>
          <w:tcPr>
            <w:tcW w:w="4404" w:type="dxa"/>
          </w:tcPr>
          <w:p w:rsidR="000376B5" w:rsidRDefault="002E1238" w:rsidP="000376B5">
            <w:r>
              <w:t>.845 g</w:t>
            </w:r>
          </w:p>
        </w:tc>
      </w:tr>
      <w:tr w:rsidR="000376B5" w:rsidTr="00C76A18">
        <w:tc>
          <w:tcPr>
            <w:tcW w:w="4452" w:type="dxa"/>
          </w:tcPr>
          <w:p w:rsidR="000376B5" w:rsidRDefault="000376B5" w:rsidP="000376B5">
            <w:r>
              <w:t>Percent recovery</w:t>
            </w:r>
          </w:p>
        </w:tc>
        <w:tc>
          <w:tcPr>
            <w:tcW w:w="4404" w:type="dxa"/>
          </w:tcPr>
          <w:p w:rsidR="000376B5" w:rsidRDefault="0052118E" w:rsidP="000376B5">
            <w:r>
              <w:t>27.9%</w:t>
            </w:r>
          </w:p>
        </w:tc>
      </w:tr>
      <w:tr w:rsidR="000376B5" w:rsidTr="00C76A18">
        <w:tc>
          <w:tcPr>
            <w:tcW w:w="4452" w:type="dxa"/>
          </w:tcPr>
          <w:p w:rsidR="000376B5" w:rsidRDefault="00C76A18" w:rsidP="000376B5">
            <w:r>
              <w:t>Melting</w:t>
            </w:r>
            <w:r w:rsidR="000376B5">
              <w:t xml:space="preserve"> point (literature)</w:t>
            </w:r>
            <w:r w:rsidR="000F46F5">
              <w:t xml:space="preserve"> </w:t>
            </w:r>
          </w:p>
        </w:tc>
        <w:tc>
          <w:tcPr>
            <w:tcW w:w="4404" w:type="dxa"/>
          </w:tcPr>
          <w:p w:rsidR="000376B5" w:rsidRDefault="008E4D7D" w:rsidP="000376B5">
            <w:r>
              <w:t>143.5</w:t>
            </w:r>
            <w:r w:rsidR="00931ED5">
              <w:t>–145.0 (</w:t>
            </w:r>
            <w:r w:rsidR="00931ED5" w:rsidRPr="00931ED5">
              <w:t>°C</w:t>
            </w:r>
            <w:r w:rsidR="00931ED5">
              <w:t>)</w:t>
            </w:r>
          </w:p>
        </w:tc>
      </w:tr>
      <w:tr w:rsidR="000376B5" w:rsidTr="00C76A18">
        <w:tc>
          <w:tcPr>
            <w:tcW w:w="4452" w:type="dxa"/>
          </w:tcPr>
          <w:p w:rsidR="000376B5" w:rsidRDefault="00C76A18" w:rsidP="00C76A18">
            <w:r>
              <w:t>Melting</w:t>
            </w:r>
            <w:r w:rsidR="000376B5">
              <w:t xml:space="preserve"> point (</w:t>
            </w:r>
            <w:r>
              <w:t>experimental</w:t>
            </w:r>
            <w:r w:rsidR="000376B5">
              <w:t>)</w:t>
            </w:r>
          </w:p>
        </w:tc>
        <w:tc>
          <w:tcPr>
            <w:tcW w:w="4404" w:type="dxa"/>
          </w:tcPr>
          <w:p w:rsidR="000376B5" w:rsidRDefault="000F46F5" w:rsidP="000376B5">
            <w:r>
              <w:t>139.5 – 140.0 (</w:t>
            </w:r>
            <w:r w:rsidRPr="00931ED5">
              <w:t>°C</w:t>
            </w:r>
            <w:r>
              <w:t>)</w:t>
            </w:r>
          </w:p>
        </w:tc>
      </w:tr>
    </w:tbl>
    <w:p w:rsidR="000376B5" w:rsidRDefault="000376B5" w:rsidP="000376B5"/>
    <w:p w:rsidR="000376B5" w:rsidRDefault="00EA75CA" w:rsidP="000376B5">
      <w:proofErr w:type="gramStart"/>
      <w:r>
        <w:rPr>
          <w:b/>
        </w:rPr>
        <w:t>Table 2.</w:t>
      </w:r>
      <w:proofErr w:type="gramEnd"/>
      <w:r>
        <w:rPr>
          <w:b/>
        </w:rPr>
        <w:t xml:space="preserve"> </w:t>
      </w:r>
      <w:r w:rsidR="000376B5">
        <w:t>IR Data</w:t>
      </w:r>
      <w:r w:rsidR="00A83DDE">
        <w:t xml:space="preserve"> of</w:t>
      </w:r>
      <w:r w:rsidR="00172714">
        <w:t xml:space="preserve"> 3-(</w:t>
      </w:r>
      <w:proofErr w:type="spellStart"/>
      <w:r w:rsidR="00172714">
        <w:t>dimethylamino</w:t>
      </w:r>
      <w:proofErr w:type="spellEnd"/>
      <w:r w:rsidR="00172714">
        <w:t>)-1-phenylpropanol</w:t>
      </w:r>
      <w:r w:rsidR="00E65BDB">
        <w:t xml:space="preserve"> </w:t>
      </w:r>
      <w:r w:rsidR="00A83DDE">
        <w:t>(2)</w:t>
      </w:r>
      <w:r w:rsidR="000376B5">
        <w:t>:</w:t>
      </w:r>
    </w:p>
    <w:p w:rsidR="000376B5" w:rsidRDefault="000376B5" w:rsidP="000376B5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1"/>
        <w:gridCol w:w="2934"/>
        <w:gridCol w:w="2971"/>
      </w:tblGrid>
      <w:tr w:rsidR="000376B5" w:rsidTr="000376B5">
        <w:tc>
          <w:tcPr>
            <w:tcW w:w="3192" w:type="dxa"/>
          </w:tcPr>
          <w:p w:rsidR="000376B5" w:rsidRPr="002540DE" w:rsidRDefault="000376B5" w:rsidP="000376B5">
            <w:r>
              <w:t>Peak position (cm</w:t>
            </w:r>
            <w:r>
              <w:rPr>
                <w:vertAlign w:val="superscript"/>
              </w:rPr>
              <w:t>-1</w:t>
            </w:r>
            <w:r>
              <w:t>)</w:t>
            </w:r>
          </w:p>
        </w:tc>
        <w:tc>
          <w:tcPr>
            <w:tcW w:w="3192" w:type="dxa"/>
          </w:tcPr>
          <w:p w:rsidR="000376B5" w:rsidRDefault="000376B5" w:rsidP="000376B5">
            <w:r>
              <w:t>Peak shape</w:t>
            </w:r>
          </w:p>
        </w:tc>
        <w:tc>
          <w:tcPr>
            <w:tcW w:w="3192" w:type="dxa"/>
          </w:tcPr>
          <w:p w:rsidR="000376B5" w:rsidRDefault="000376B5" w:rsidP="000376B5">
            <w:r>
              <w:t>Functional Group</w:t>
            </w:r>
          </w:p>
        </w:tc>
      </w:tr>
      <w:tr w:rsidR="000376B5" w:rsidTr="000376B5">
        <w:tc>
          <w:tcPr>
            <w:tcW w:w="3192" w:type="dxa"/>
          </w:tcPr>
          <w:p w:rsidR="000376B5" w:rsidRDefault="0073169B" w:rsidP="000376B5">
            <w:r>
              <w:t>3364.65</w:t>
            </w:r>
          </w:p>
        </w:tc>
        <w:tc>
          <w:tcPr>
            <w:tcW w:w="3192" w:type="dxa"/>
          </w:tcPr>
          <w:p w:rsidR="000376B5" w:rsidRDefault="0073169B" w:rsidP="000376B5">
            <w:r>
              <w:t>Strong, broad</w:t>
            </w:r>
          </w:p>
        </w:tc>
        <w:tc>
          <w:tcPr>
            <w:tcW w:w="3192" w:type="dxa"/>
          </w:tcPr>
          <w:p w:rsidR="000376B5" w:rsidRDefault="0073169B" w:rsidP="000376B5">
            <w:r>
              <w:t>-OH group</w:t>
            </w:r>
          </w:p>
        </w:tc>
      </w:tr>
      <w:tr w:rsidR="000376B5" w:rsidTr="000376B5">
        <w:tc>
          <w:tcPr>
            <w:tcW w:w="3192" w:type="dxa"/>
          </w:tcPr>
          <w:p w:rsidR="000376B5" w:rsidRDefault="0073169B" w:rsidP="000376B5">
            <w:r>
              <w:t>2972.58</w:t>
            </w:r>
          </w:p>
        </w:tc>
        <w:tc>
          <w:tcPr>
            <w:tcW w:w="3192" w:type="dxa"/>
          </w:tcPr>
          <w:p w:rsidR="000376B5" w:rsidRDefault="0073169B" w:rsidP="000376B5">
            <w:r>
              <w:t xml:space="preserve">Strong </w:t>
            </w:r>
          </w:p>
        </w:tc>
        <w:tc>
          <w:tcPr>
            <w:tcW w:w="3192" w:type="dxa"/>
          </w:tcPr>
          <w:p w:rsidR="000376B5" w:rsidRPr="0073169B" w:rsidRDefault="0073169B" w:rsidP="000376B5">
            <w:r>
              <w:t>C-H sp</w:t>
            </w:r>
            <w:r w:rsidRPr="008527F5">
              <w:rPr>
                <w:vertAlign w:val="superscript"/>
              </w:rPr>
              <w:t xml:space="preserve">3 </w:t>
            </w:r>
          </w:p>
        </w:tc>
      </w:tr>
      <w:tr w:rsidR="00DD6D74" w:rsidTr="000376B5">
        <w:tc>
          <w:tcPr>
            <w:tcW w:w="3192" w:type="dxa"/>
          </w:tcPr>
          <w:p w:rsidR="00DD6D74" w:rsidRDefault="004E14B2" w:rsidP="000376B5">
            <w:r>
              <w:t>1660.07, 1650.63</w:t>
            </w:r>
          </w:p>
        </w:tc>
        <w:tc>
          <w:tcPr>
            <w:tcW w:w="3192" w:type="dxa"/>
          </w:tcPr>
          <w:p w:rsidR="00DD6D74" w:rsidRDefault="00DD6D74" w:rsidP="000376B5">
            <w:r>
              <w:t>Strong</w:t>
            </w:r>
          </w:p>
        </w:tc>
        <w:tc>
          <w:tcPr>
            <w:tcW w:w="3192" w:type="dxa"/>
          </w:tcPr>
          <w:p w:rsidR="00DD6D74" w:rsidRDefault="005B1484" w:rsidP="000376B5">
            <w:r>
              <w:t>Benzene ring</w:t>
            </w:r>
            <w:r w:rsidR="00BD1787">
              <w:t xml:space="preserve"> C-C</w:t>
            </w:r>
          </w:p>
        </w:tc>
      </w:tr>
      <w:tr w:rsidR="00A06304" w:rsidTr="000376B5">
        <w:tc>
          <w:tcPr>
            <w:tcW w:w="3192" w:type="dxa"/>
          </w:tcPr>
          <w:p w:rsidR="00A06304" w:rsidRDefault="00CC2382" w:rsidP="00CC2382">
            <w:r>
              <w:t>1537.26</w:t>
            </w:r>
            <w:r w:rsidR="00244C90">
              <w:t>, 1556.68</w:t>
            </w:r>
          </w:p>
        </w:tc>
        <w:tc>
          <w:tcPr>
            <w:tcW w:w="3192" w:type="dxa"/>
          </w:tcPr>
          <w:p w:rsidR="00A06304" w:rsidRDefault="00105EAC" w:rsidP="000376B5">
            <w:r>
              <w:t xml:space="preserve">Strong </w:t>
            </w:r>
          </w:p>
        </w:tc>
        <w:tc>
          <w:tcPr>
            <w:tcW w:w="3192" w:type="dxa"/>
          </w:tcPr>
          <w:p w:rsidR="00A06304" w:rsidRDefault="00A06304" w:rsidP="000376B5">
            <w:r>
              <w:t>Aromatic C=C</w:t>
            </w:r>
          </w:p>
        </w:tc>
      </w:tr>
      <w:tr w:rsidR="00EE3CA5" w:rsidTr="000376B5">
        <w:tc>
          <w:tcPr>
            <w:tcW w:w="3192" w:type="dxa"/>
          </w:tcPr>
          <w:p w:rsidR="00EE3CA5" w:rsidRDefault="00EE3CA5" w:rsidP="00CC2382">
            <w:r>
              <w:t>1038</w:t>
            </w:r>
            <w:r w:rsidR="00EA587F">
              <w:t>.</w:t>
            </w:r>
            <w:r>
              <w:t>14</w:t>
            </w:r>
          </w:p>
        </w:tc>
        <w:tc>
          <w:tcPr>
            <w:tcW w:w="3192" w:type="dxa"/>
          </w:tcPr>
          <w:p w:rsidR="00EE3CA5" w:rsidRDefault="00EE3CA5" w:rsidP="000376B5">
            <w:r>
              <w:t>Strong</w:t>
            </w:r>
          </w:p>
        </w:tc>
        <w:tc>
          <w:tcPr>
            <w:tcW w:w="3192" w:type="dxa"/>
          </w:tcPr>
          <w:p w:rsidR="00EE3CA5" w:rsidRDefault="00EE3CA5" w:rsidP="000376B5">
            <w:r>
              <w:t>C-N (amine)</w:t>
            </w:r>
          </w:p>
        </w:tc>
      </w:tr>
    </w:tbl>
    <w:p w:rsidR="000376B5" w:rsidRDefault="000376B5" w:rsidP="000376B5"/>
    <w:p w:rsidR="00620AF6" w:rsidRDefault="00EA75CA" w:rsidP="00620AF6">
      <w:proofErr w:type="gramStart"/>
      <w:r>
        <w:rPr>
          <w:b/>
        </w:rPr>
        <w:t>Table 3.</w:t>
      </w:r>
      <w:proofErr w:type="gramEnd"/>
      <w:r>
        <w:rPr>
          <w:b/>
        </w:rPr>
        <w:t xml:space="preserve"> </w:t>
      </w:r>
      <w:r w:rsidR="00620AF6">
        <w:t>IR Data</w:t>
      </w:r>
      <w:r w:rsidR="007745FA">
        <w:t xml:space="preserve"> of NMP</w:t>
      </w:r>
      <w:r w:rsidR="007C0E9A">
        <w:t xml:space="preserve"> (4)</w:t>
      </w:r>
      <w:r w:rsidR="00620AF6">
        <w:t>:</w:t>
      </w:r>
    </w:p>
    <w:p w:rsidR="00620AF6" w:rsidRDefault="00620AF6" w:rsidP="00620AF6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41"/>
        <w:gridCol w:w="2945"/>
        <w:gridCol w:w="2970"/>
      </w:tblGrid>
      <w:tr w:rsidR="00620AF6" w:rsidTr="000F26D4">
        <w:tc>
          <w:tcPr>
            <w:tcW w:w="2941" w:type="dxa"/>
          </w:tcPr>
          <w:p w:rsidR="00620AF6" w:rsidRPr="002540DE" w:rsidRDefault="00620AF6" w:rsidP="00E01E63">
            <w:r>
              <w:t>Peak position (cm</w:t>
            </w:r>
            <w:r>
              <w:rPr>
                <w:vertAlign w:val="superscript"/>
              </w:rPr>
              <w:t>-1</w:t>
            </w:r>
            <w:r>
              <w:t>)</w:t>
            </w:r>
          </w:p>
        </w:tc>
        <w:tc>
          <w:tcPr>
            <w:tcW w:w="2945" w:type="dxa"/>
          </w:tcPr>
          <w:p w:rsidR="00620AF6" w:rsidRDefault="00620AF6" w:rsidP="00E01E63">
            <w:r>
              <w:t>Peak shape</w:t>
            </w:r>
          </w:p>
        </w:tc>
        <w:tc>
          <w:tcPr>
            <w:tcW w:w="2970" w:type="dxa"/>
          </w:tcPr>
          <w:p w:rsidR="00620AF6" w:rsidRDefault="00620AF6" w:rsidP="00E01E63">
            <w:r>
              <w:t>Functional Group</w:t>
            </w:r>
          </w:p>
        </w:tc>
      </w:tr>
      <w:tr w:rsidR="00620AF6" w:rsidTr="000F26D4">
        <w:tc>
          <w:tcPr>
            <w:tcW w:w="2941" w:type="dxa"/>
          </w:tcPr>
          <w:p w:rsidR="00620AF6" w:rsidRDefault="00B96901" w:rsidP="00E01E63">
            <w:r>
              <w:t>3399.47</w:t>
            </w:r>
          </w:p>
        </w:tc>
        <w:tc>
          <w:tcPr>
            <w:tcW w:w="2945" w:type="dxa"/>
          </w:tcPr>
          <w:p w:rsidR="00620AF6" w:rsidRDefault="00397A7C" w:rsidP="00E01E63">
            <w:r>
              <w:t>Strong</w:t>
            </w:r>
            <w:r w:rsidR="00B96901">
              <w:t>, broad</w:t>
            </w:r>
          </w:p>
        </w:tc>
        <w:tc>
          <w:tcPr>
            <w:tcW w:w="2970" w:type="dxa"/>
          </w:tcPr>
          <w:p w:rsidR="00620AF6" w:rsidRDefault="00A12FEA" w:rsidP="00720A37">
            <w:r>
              <w:t>-OH group</w:t>
            </w:r>
          </w:p>
        </w:tc>
      </w:tr>
      <w:tr w:rsidR="00620AF6" w:rsidTr="000F26D4">
        <w:tc>
          <w:tcPr>
            <w:tcW w:w="2941" w:type="dxa"/>
          </w:tcPr>
          <w:p w:rsidR="00620AF6" w:rsidRDefault="00DA49CC" w:rsidP="00E01E63">
            <w:r>
              <w:t>2947.86</w:t>
            </w:r>
          </w:p>
        </w:tc>
        <w:tc>
          <w:tcPr>
            <w:tcW w:w="2945" w:type="dxa"/>
          </w:tcPr>
          <w:p w:rsidR="00620AF6" w:rsidRDefault="00DA49CC" w:rsidP="00E01E63">
            <w:r>
              <w:t>Medium</w:t>
            </w:r>
          </w:p>
        </w:tc>
        <w:tc>
          <w:tcPr>
            <w:tcW w:w="2970" w:type="dxa"/>
          </w:tcPr>
          <w:p w:rsidR="00620AF6" w:rsidRPr="00DA49CC" w:rsidRDefault="00DA49CC" w:rsidP="00E01E63">
            <w:pPr>
              <w:rPr>
                <w:vertAlign w:val="superscript"/>
              </w:rPr>
            </w:pPr>
            <w:r>
              <w:t>C-H sp</w:t>
            </w:r>
            <w:r>
              <w:rPr>
                <w:vertAlign w:val="superscript"/>
              </w:rPr>
              <w:t>3</w:t>
            </w:r>
          </w:p>
        </w:tc>
      </w:tr>
      <w:tr w:rsidR="00DA2AA7" w:rsidTr="000F26D4">
        <w:tc>
          <w:tcPr>
            <w:tcW w:w="2941" w:type="dxa"/>
          </w:tcPr>
          <w:p w:rsidR="00DA2AA7" w:rsidRDefault="004C102A" w:rsidP="00E01E63">
            <w:r>
              <w:t>1621.10</w:t>
            </w:r>
          </w:p>
        </w:tc>
        <w:tc>
          <w:tcPr>
            <w:tcW w:w="2945" w:type="dxa"/>
          </w:tcPr>
          <w:p w:rsidR="004C102A" w:rsidRDefault="004C102A" w:rsidP="00E01E63">
            <w:r>
              <w:t>Strong</w:t>
            </w:r>
          </w:p>
        </w:tc>
        <w:tc>
          <w:tcPr>
            <w:tcW w:w="2970" w:type="dxa"/>
          </w:tcPr>
          <w:p w:rsidR="00DA2AA7" w:rsidRDefault="004075B1" w:rsidP="00E01E63">
            <w:r>
              <w:t>Benzene ring C-C</w:t>
            </w:r>
          </w:p>
        </w:tc>
      </w:tr>
      <w:tr w:rsidR="001601F4" w:rsidTr="000F26D4">
        <w:tc>
          <w:tcPr>
            <w:tcW w:w="2941" w:type="dxa"/>
          </w:tcPr>
          <w:p w:rsidR="001601F4" w:rsidRDefault="001601F4" w:rsidP="00E01E63">
            <w:r>
              <w:t>1263.56</w:t>
            </w:r>
          </w:p>
        </w:tc>
        <w:tc>
          <w:tcPr>
            <w:tcW w:w="2945" w:type="dxa"/>
          </w:tcPr>
          <w:p w:rsidR="001601F4" w:rsidRDefault="001601F4" w:rsidP="00E01E63">
            <w:r>
              <w:t>Weak</w:t>
            </w:r>
          </w:p>
        </w:tc>
        <w:tc>
          <w:tcPr>
            <w:tcW w:w="2970" w:type="dxa"/>
          </w:tcPr>
          <w:p w:rsidR="001601F4" w:rsidRDefault="001601F4" w:rsidP="00E01E63">
            <w:r>
              <w:t>C-O (ether)</w:t>
            </w:r>
          </w:p>
        </w:tc>
      </w:tr>
      <w:tr w:rsidR="00397A7C" w:rsidTr="000F26D4">
        <w:tc>
          <w:tcPr>
            <w:tcW w:w="2941" w:type="dxa"/>
          </w:tcPr>
          <w:p w:rsidR="00397A7C" w:rsidRDefault="00397A7C" w:rsidP="00E01E63">
            <w:r>
              <w:t>1196.62</w:t>
            </w:r>
          </w:p>
        </w:tc>
        <w:tc>
          <w:tcPr>
            <w:tcW w:w="2945" w:type="dxa"/>
          </w:tcPr>
          <w:p w:rsidR="00397A7C" w:rsidRDefault="00397A7C" w:rsidP="00E01E63">
            <w:r>
              <w:t xml:space="preserve">Weak </w:t>
            </w:r>
          </w:p>
        </w:tc>
        <w:tc>
          <w:tcPr>
            <w:tcW w:w="2970" w:type="dxa"/>
          </w:tcPr>
          <w:p w:rsidR="00397A7C" w:rsidRDefault="00C74C2A" w:rsidP="00E01E63">
            <w:r>
              <w:t xml:space="preserve">C-F or </w:t>
            </w:r>
            <w:r w:rsidR="00397A7C">
              <w:t>C-N (amine)</w:t>
            </w:r>
          </w:p>
        </w:tc>
      </w:tr>
    </w:tbl>
    <w:p w:rsidR="000376B5" w:rsidRDefault="000376B5" w:rsidP="000376B5"/>
    <w:p w:rsidR="00620AF6" w:rsidRDefault="00EA75CA" w:rsidP="00620AF6">
      <w:proofErr w:type="gramStart"/>
      <w:r>
        <w:rPr>
          <w:b/>
        </w:rPr>
        <w:t>Table 4.</w:t>
      </w:r>
      <w:proofErr w:type="gramEnd"/>
      <w:r>
        <w:rPr>
          <w:b/>
        </w:rPr>
        <w:t xml:space="preserve"> </w:t>
      </w:r>
      <w:r w:rsidR="00620AF6">
        <w:t>IR Data</w:t>
      </w:r>
      <w:r w:rsidR="005A4F68">
        <w:t xml:space="preserve"> of NMP oxalate salt (4ox)</w:t>
      </w:r>
      <w:r w:rsidR="00620AF6">
        <w:t>:</w:t>
      </w:r>
    </w:p>
    <w:p w:rsidR="00620AF6" w:rsidRDefault="00620AF6" w:rsidP="00620AF6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29"/>
        <w:gridCol w:w="2926"/>
        <w:gridCol w:w="3001"/>
      </w:tblGrid>
      <w:tr w:rsidR="00620AF6" w:rsidTr="00E01E63">
        <w:tc>
          <w:tcPr>
            <w:tcW w:w="3192" w:type="dxa"/>
          </w:tcPr>
          <w:p w:rsidR="00620AF6" w:rsidRPr="002540DE" w:rsidRDefault="00620AF6" w:rsidP="00E01E63">
            <w:r>
              <w:t>Peak position (cm</w:t>
            </w:r>
            <w:r>
              <w:rPr>
                <w:vertAlign w:val="superscript"/>
              </w:rPr>
              <w:t>-1</w:t>
            </w:r>
            <w:r>
              <w:t>)</w:t>
            </w:r>
          </w:p>
        </w:tc>
        <w:tc>
          <w:tcPr>
            <w:tcW w:w="3192" w:type="dxa"/>
          </w:tcPr>
          <w:p w:rsidR="00620AF6" w:rsidRDefault="00620AF6" w:rsidP="00E01E63">
            <w:r>
              <w:t>Peak shape</w:t>
            </w:r>
          </w:p>
        </w:tc>
        <w:tc>
          <w:tcPr>
            <w:tcW w:w="3192" w:type="dxa"/>
          </w:tcPr>
          <w:p w:rsidR="00620AF6" w:rsidRDefault="00620AF6" w:rsidP="00E01E63">
            <w:r>
              <w:t>Functional Group</w:t>
            </w:r>
          </w:p>
        </w:tc>
      </w:tr>
      <w:tr w:rsidR="00620AF6" w:rsidTr="00E01E63">
        <w:tc>
          <w:tcPr>
            <w:tcW w:w="3192" w:type="dxa"/>
          </w:tcPr>
          <w:p w:rsidR="00620AF6" w:rsidRDefault="00C04703" w:rsidP="00E01E63">
            <w:r>
              <w:t>2993.78</w:t>
            </w:r>
          </w:p>
        </w:tc>
        <w:tc>
          <w:tcPr>
            <w:tcW w:w="3192" w:type="dxa"/>
          </w:tcPr>
          <w:p w:rsidR="00620AF6" w:rsidRDefault="00C04703" w:rsidP="00E01E63">
            <w:r>
              <w:t xml:space="preserve">Medium </w:t>
            </w:r>
          </w:p>
        </w:tc>
        <w:tc>
          <w:tcPr>
            <w:tcW w:w="3192" w:type="dxa"/>
          </w:tcPr>
          <w:p w:rsidR="00620AF6" w:rsidRPr="00C04703" w:rsidRDefault="00C04703" w:rsidP="00E01E63">
            <w:pPr>
              <w:rPr>
                <w:vertAlign w:val="superscript"/>
              </w:rPr>
            </w:pPr>
            <w:r>
              <w:t>C-H sp</w:t>
            </w:r>
            <w:r>
              <w:rPr>
                <w:vertAlign w:val="superscript"/>
              </w:rPr>
              <w:t>3</w:t>
            </w:r>
          </w:p>
        </w:tc>
      </w:tr>
      <w:tr w:rsidR="00620AF6" w:rsidTr="00E01E63">
        <w:tc>
          <w:tcPr>
            <w:tcW w:w="3192" w:type="dxa"/>
          </w:tcPr>
          <w:p w:rsidR="00620AF6" w:rsidRDefault="0007465C" w:rsidP="00E01E63">
            <w:r>
              <w:t>1768.91, 1757.89</w:t>
            </w:r>
          </w:p>
        </w:tc>
        <w:tc>
          <w:tcPr>
            <w:tcW w:w="3192" w:type="dxa"/>
          </w:tcPr>
          <w:p w:rsidR="00620AF6" w:rsidRDefault="0007465C" w:rsidP="00E01E63">
            <w:r>
              <w:t xml:space="preserve">Strong </w:t>
            </w:r>
          </w:p>
        </w:tc>
        <w:tc>
          <w:tcPr>
            <w:tcW w:w="3192" w:type="dxa"/>
          </w:tcPr>
          <w:p w:rsidR="00620AF6" w:rsidRDefault="002B1E8E" w:rsidP="002B1E8E">
            <w:r>
              <w:t xml:space="preserve">Contamination </w:t>
            </w:r>
          </w:p>
        </w:tc>
      </w:tr>
      <w:tr w:rsidR="0007465C" w:rsidTr="00E01E63">
        <w:tc>
          <w:tcPr>
            <w:tcW w:w="3192" w:type="dxa"/>
          </w:tcPr>
          <w:p w:rsidR="0007465C" w:rsidRDefault="0007465C" w:rsidP="00E01E63">
            <w:r>
              <w:t>1246.05</w:t>
            </w:r>
          </w:p>
        </w:tc>
        <w:tc>
          <w:tcPr>
            <w:tcW w:w="3192" w:type="dxa"/>
          </w:tcPr>
          <w:p w:rsidR="0007465C" w:rsidRDefault="0007465C" w:rsidP="00E01E63">
            <w:r>
              <w:t xml:space="preserve">Strong </w:t>
            </w:r>
          </w:p>
        </w:tc>
        <w:tc>
          <w:tcPr>
            <w:tcW w:w="3192" w:type="dxa"/>
          </w:tcPr>
          <w:p w:rsidR="0007465C" w:rsidRDefault="0007465C" w:rsidP="00E01E63">
            <w:r>
              <w:t>C-O (ether)</w:t>
            </w:r>
          </w:p>
        </w:tc>
      </w:tr>
      <w:tr w:rsidR="0007465C" w:rsidTr="00E01E63">
        <w:tc>
          <w:tcPr>
            <w:tcW w:w="3192" w:type="dxa"/>
          </w:tcPr>
          <w:p w:rsidR="0007465C" w:rsidRDefault="0007465C" w:rsidP="00E01E63">
            <w:r>
              <w:t>1057.02</w:t>
            </w:r>
          </w:p>
        </w:tc>
        <w:tc>
          <w:tcPr>
            <w:tcW w:w="3192" w:type="dxa"/>
          </w:tcPr>
          <w:p w:rsidR="0007465C" w:rsidRDefault="0007465C" w:rsidP="00E01E63">
            <w:r>
              <w:t xml:space="preserve">Medium </w:t>
            </w:r>
          </w:p>
        </w:tc>
        <w:tc>
          <w:tcPr>
            <w:tcW w:w="3192" w:type="dxa"/>
          </w:tcPr>
          <w:p w:rsidR="0007465C" w:rsidRDefault="0007465C" w:rsidP="003D3CC3">
            <w:r>
              <w:t xml:space="preserve">C-F </w:t>
            </w:r>
            <w:r w:rsidR="00EA587F">
              <w:t>or C-N (amine)</w:t>
            </w:r>
          </w:p>
        </w:tc>
      </w:tr>
    </w:tbl>
    <w:p w:rsidR="00620AF6" w:rsidRDefault="00620AF6" w:rsidP="005D7845">
      <w:pPr>
        <w:spacing w:line="480" w:lineRule="auto"/>
      </w:pPr>
    </w:p>
    <w:p w:rsidR="0084487E" w:rsidRDefault="0084487E" w:rsidP="005D7845">
      <w:pPr>
        <w:spacing w:line="480" w:lineRule="auto"/>
      </w:pPr>
      <w:proofErr w:type="gramStart"/>
      <w:r w:rsidRPr="002B7DFC">
        <w:rPr>
          <w:b/>
          <w:highlight w:val="yellow"/>
        </w:rPr>
        <w:lastRenderedPageBreak/>
        <w:t>Table 5.</w:t>
      </w:r>
      <w:proofErr w:type="gramEnd"/>
      <w:r w:rsidRPr="002B7DFC">
        <w:rPr>
          <w:highlight w:val="yellow"/>
        </w:rPr>
        <w:t xml:space="preserve"> H NMR Data of NMP (4):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30742B" w:rsidTr="0030742B">
        <w:tc>
          <w:tcPr>
            <w:tcW w:w="2214" w:type="dxa"/>
          </w:tcPr>
          <w:p w:rsidR="0030742B" w:rsidRPr="0030742B" w:rsidRDefault="0030742B" w:rsidP="0037473D">
            <w:pPr>
              <w:jc w:val="center"/>
              <w:rPr>
                <w:b/>
              </w:rPr>
            </w:pPr>
            <w:r w:rsidRPr="0030742B">
              <w:rPr>
                <w:b/>
              </w:rPr>
              <w:t>ppm</w:t>
            </w:r>
          </w:p>
        </w:tc>
        <w:tc>
          <w:tcPr>
            <w:tcW w:w="2214" w:type="dxa"/>
          </w:tcPr>
          <w:p w:rsidR="0030742B" w:rsidRPr="0030742B" w:rsidRDefault="0030742B" w:rsidP="0037473D">
            <w:pPr>
              <w:jc w:val="center"/>
              <w:rPr>
                <w:b/>
              </w:rPr>
            </w:pPr>
            <w:r w:rsidRPr="0030742B">
              <w:rPr>
                <w:b/>
              </w:rPr>
              <w:t>multiplicity</w:t>
            </w:r>
          </w:p>
        </w:tc>
        <w:tc>
          <w:tcPr>
            <w:tcW w:w="2214" w:type="dxa"/>
          </w:tcPr>
          <w:p w:rsidR="0030742B" w:rsidRPr="0030742B" w:rsidRDefault="0030742B" w:rsidP="0037473D">
            <w:pPr>
              <w:jc w:val="center"/>
              <w:rPr>
                <w:b/>
              </w:rPr>
            </w:pPr>
            <w:r w:rsidRPr="0030742B">
              <w:rPr>
                <w:b/>
              </w:rPr>
              <w:t>integration</w:t>
            </w:r>
          </w:p>
        </w:tc>
        <w:tc>
          <w:tcPr>
            <w:tcW w:w="2214" w:type="dxa"/>
          </w:tcPr>
          <w:p w:rsidR="0030742B" w:rsidRPr="0030742B" w:rsidRDefault="0030742B" w:rsidP="0037473D">
            <w:pPr>
              <w:jc w:val="center"/>
              <w:rPr>
                <w:b/>
              </w:rPr>
            </w:pPr>
            <w:r w:rsidRPr="0030742B">
              <w:rPr>
                <w:b/>
              </w:rPr>
              <w:t>assignment</w:t>
            </w:r>
          </w:p>
        </w:tc>
      </w:tr>
      <w:tr w:rsidR="0030742B" w:rsidTr="0030742B">
        <w:tc>
          <w:tcPr>
            <w:tcW w:w="2214" w:type="dxa"/>
          </w:tcPr>
          <w:p w:rsidR="0030742B" w:rsidRDefault="00E07F45" w:rsidP="0037473D">
            <w:pPr>
              <w:jc w:val="center"/>
            </w:pPr>
            <w:r>
              <w:t>1.9-2.2</w:t>
            </w:r>
          </w:p>
        </w:tc>
        <w:tc>
          <w:tcPr>
            <w:tcW w:w="2214" w:type="dxa"/>
          </w:tcPr>
          <w:p w:rsidR="0030742B" w:rsidRDefault="00E07F45" w:rsidP="0037473D">
            <w:pPr>
              <w:jc w:val="center"/>
            </w:pPr>
            <w:proofErr w:type="spellStart"/>
            <w:r>
              <w:t>Multiplet</w:t>
            </w:r>
            <w:proofErr w:type="spellEnd"/>
          </w:p>
        </w:tc>
        <w:tc>
          <w:tcPr>
            <w:tcW w:w="2214" w:type="dxa"/>
          </w:tcPr>
          <w:p w:rsidR="0030742B" w:rsidRDefault="00E07F45" w:rsidP="0037473D">
            <w:pPr>
              <w:jc w:val="center"/>
            </w:pPr>
            <w:r>
              <w:t>10H</w:t>
            </w:r>
          </w:p>
        </w:tc>
        <w:tc>
          <w:tcPr>
            <w:tcW w:w="2214" w:type="dxa"/>
          </w:tcPr>
          <w:p w:rsidR="0030742B" w:rsidRDefault="00E07F45" w:rsidP="0037473D">
            <w:pPr>
              <w:jc w:val="center"/>
            </w:pPr>
            <w:r>
              <w:t>a</w:t>
            </w:r>
          </w:p>
        </w:tc>
      </w:tr>
      <w:tr w:rsidR="00E07F45" w:rsidTr="0030742B">
        <w:tc>
          <w:tcPr>
            <w:tcW w:w="2214" w:type="dxa"/>
          </w:tcPr>
          <w:p w:rsidR="00E07F45" w:rsidRDefault="00E07F45" w:rsidP="0037473D">
            <w:pPr>
              <w:jc w:val="center"/>
            </w:pPr>
            <w:r>
              <w:t>5.2</w:t>
            </w:r>
          </w:p>
        </w:tc>
        <w:tc>
          <w:tcPr>
            <w:tcW w:w="2214" w:type="dxa"/>
          </w:tcPr>
          <w:p w:rsidR="00E07F45" w:rsidRDefault="00E07F45" w:rsidP="0037473D">
            <w:pPr>
              <w:jc w:val="center"/>
            </w:pPr>
            <w:r>
              <w:t>Triplet</w:t>
            </w:r>
          </w:p>
        </w:tc>
        <w:tc>
          <w:tcPr>
            <w:tcW w:w="2214" w:type="dxa"/>
          </w:tcPr>
          <w:p w:rsidR="00E07F45" w:rsidRDefault="00E07F45" w:rsidP="0037473D">
            <w:pPr>
              <w:jc w:val="center"/>
            </w:pPr>
            <w:r>
              <w:t>1H</w:t>
            </w:r>
          </w:p>
        </w:tc>
        <w:tc>
          <w:tcPr>
            <w:tcW w:w="2214" w:type="dxa"/>
          </w:tcPr>
          <w:p w:rsidR="00E07F45" w:rsidRDefault="00E07F45" w:rsidP="0037473D">
            <w:pPr>
              <w:jc w:val="center"/>
            </w:pPr>
            <w:r>
              <w:t>b</w:t>
            </w:r>
          </w:p>
        </w:tc>
      </w:tr>
      <w:tr w:rsidR="00E07F45" w:rsidTr="0030742B">
        <w:tc>
          <w:tcPr>
            <w:tcW w:w="2214" w:type="dxa"/>
          </w:tcPr>
          <w:p w:rsidR="00E07F45" w:rsidRDefault="00E07F45" w:rsidP="0037473D">
            <w:pPr>
              <w:jc w:val="center"/>
            </w:pPr>
            <w:r>
              <w:t>6.8-7.4</w:t>
            </w:r>
          </w:p>
        </w:tc>
        <w:tc>
          <w:tcPr>
            <w:tcW w:w="2214" w:type="dxa"/>
          </w:tcPr>
          <w:p w:rsidR="00E07F45" w:rsidRDefault="00E07F45" w:rsidP="0037473D">
            <w:pPr>
              <w:jc w:val="center"/>
            </w:pPr>
            <w:proofErr w:type="spellStart"/>
            <w:r>
              <w:t>Multiplet</w:t>
            </w:r>
            <w:proofErr w:type="spellEnd"/>
          </w:p>
        </w:tc>
        <w:tc>
          <w:tcPr>
            <w:tcW w:w="2214" w:type="dxa"/>
          </w:tcPr>
          <w:p w:rsidR="00E07F45" w:rsidRDefault="00E07F45" w:rsidP="0037473D">
            <w:pPr>
              <w:jc w:val="center"/>
            </w:pPr>
            <w:r>
              <w:t>9H</w:t>
            </w:r>
          </w:p>
        </w:tc>
        <w:tc>
          <w:tcPr>
            <w:tcW w:w="2214" w:type="dxa"/>
          </w:tcPr>
          <w:p w:rsidR="00E07F45" w:rsidRDefault="00E07F45" w:rsidP="0037473D">
            <w:pPr>
              <w:jc w:val="center"/>
            </w:pPr>
            <w:r>
              <w:t>c</w:t>
            </w:r>
          </w:p>
        </w:tc>
      </w:tr>
    </w:tbl>
    <w:p w:rsidR="00EA75CA" w:rsidRDefault="00EA75CA" w:rsidP="005D7845">
      <w:pPr>
        <w:spacing w:line="480" w:lineRule="auto"/>
      </w:pPr>
    </w:p>
    <w:p w:rsidR="007A72C6" w:rsidRDefault="00A54E39" w:rsidP="005D7845">
      <w:pPr>
        <w:spacing w:line="480" w:lineRule="auto"/>
        <w:rPr>
          <w:b/>
        </w:rPr>
      </w:pPr>
      <w:r>
        <w:rPr>
          <w:b/>
        </w:rPr>
        <w:t>Discussion</w:t>
      </w:r>
    </w:p>
    <w:p w:rsidR="006804FA" w:rsidRDefault="00020B47" w:rsidP="003D3783">
      <w:pPr>
        <w:spacing w:line="480" w:lineRule="auto"/>
      </w:pPr>
      <w:r>
        <w:t>The purpose of this experiment was to synthesize and characterize the oxalate salt of NMP</w:t>
      </w:r>
      <w:r w:rsidR="00D52A29">
        <w:t xml:space="preserve">, </w:t>
      </w:r>
      <w:r w:rsidR="00A8721A">
        <w:t xml:space="preserve">a </w:t>
      </w:r>
      <w:r w:rsidR="00D52A29">
        <w:t>precursor to Prozac</w:t>
      </w:r>
      <w:r w:rsidR="00D97F4F">
        <w:t>. The f</w:t>
      </w:r>
      <w:r w:rsidR="00415E11">
        <w:t xml:space="preserve">irst step was a reduction of the carbonyl group using sodium </w:t>
      </w:r>
      <w:proofErr w:type="spellStart"/>
      <w:r w:rsidR="00415E11">
        <w:t>borohydride</w:t>
      </w:r>
      <w:proofErr w:type="spellEnd"/>
      <w:r w:rsidR="00415E11">
        <w:t xml:space="preserve">. </w:t>
      </w:r>
      <w:r w:rsidR="00C00ACE">
        <w:t xml:space="preserve">The solution needed to be basic in the addition of sodium </w:t>
      </w:r>
      <w:proofErr w:type="spellStart"/>
      <w:r w:rsidR="00C00ACE">
        <w:t>borohydride</w:t>
      </w:r>
      <w:proofErr w:type="spellEnd"/>
      <w:r w:rsidR="00C00ACE">
        <w:t xml:space="preserve">, which is why sodium hydroxide was used. This prevents an accidental protonation of the electronegative oxygen. </w:t>
      </w:r>
      <w:r w:rsidR="00B443C9">
        <w:t xml:space="preserve">The product of that reaction then needed to be </w:t>
      </w:r>
      <w:r w:rsidR="008E38AB" w:rsidRPr="003C0B00">
        <w:t xml:space="preserve">made acidic to destroy any excess sodium </w:t>
      </w:r>
      <w:proofErr w:type="spellStart"/>
      <w:r w:rsidR="008E38AB" w:rsidRPr="003C0B00">
        <w:t>borohydride</w:t>
      </w:r>
      <w:proofErr w:type="spellEnd"/>
      <w:r w:rsidR="008E38AB" w:rsidRPr="003C0B00">
        <w:t xml:space="preserve">, </w:t>
      </w:r>
      <w:r w:rsidR="00B443C9" w:rsidRPr="003C0B00">
        <w:t xml:space="preserve"> then</w:t>
      </w:r>
      <w:r w:rsidR="008E38AB" w:rsidRPr="003C0B00">
        <w:t xml:space="preserve"> was made basic again</w:t>
      </w:r>
      <w:r w:rsidR="008E38AB">
        <w:t>—</w:t>
      </w:r>
      <w:r w:rsidR="00A67AFF">
        <w:t xml:space="preserve">to </w:t>
      </w:r>
      <w:r w:rsidR="008E38AB">
        <w:t>the solution’s free-base form—in order for coupling with 4-chlorobenzotrifluoride to occur.</w:t>
      </w:r>
      <w:r w:rsidR="00277C2D">
        <w:t xml:space="preserve"> The temperature of the coupling reaction between the two is suggested to be around 155 </w:t>
      </w:r>
      <w:r w:rsidR="00277C2D" w:rsidRPr="00931ED5">
        <w:t>°C</w:t>
      </w:r>
      <w:r w:rsidR="00277C2D">
        <w:t xml:space="preserve"> in order to ensure the rapid coupling can be achieved, and also to remove as much ether, t-butyl alcohol, and excess 4-chlorobenztrifluoride, since their boiling points are all lower than that of </w:t>
      </w:r>
      <w:proofErr w:type="spellStart"/>
      <w:r w:rsidR="00277C2D">
        <w:t>dimethylacetamide</w:t>
      </w:r>
      <w:proofErr w:type="spellEnd"/>
      <w:r w:rsidR="00277C2D">
        <w:t xml:space="preserve">. </w:t>
      </w:r>
      <w:r w:rsidR="00B443C9">
        <w:t xml:space="preserve"> </w:t>
      </w:r>
      <w:r w:rsidR="006804FA">
        <w:t>The product, 3-(</w:t>
      </w:r>
      <w:proofErr w:type="spellStart"/>
      <w:r w:rsidR="006804FA">
        <w:t>d</w:t>
      </w:r>
      <w:r w:rsidR="00CE4C2A">
        <w:t>imethylamino</w:t>
      </w:r>
      <w:proofErr w:type="spellEnd"/>
      <w:r w:rsidR="00CE4C2A">
        <w:t xml:space="preserve">)-1-phenylpropanol, </w:t>
      </w:r>
      <w:r w:rsidR="006804FA">
        <w:t>was isolated and used in the succeeding step.</w:t>
      </w:r>
    </w:p>
    <w:p w:rsidR="003A5AAA" w:rsidRDefault="006804FA" w:rsidP="003C4869">
      <w:pPr>
        <w:spacing w:line="480" w:lineRule="auto"/>
        <w:ind w:firstLine="720"/>
      </w:pPr>
      <w:r>
        <w:t xml:space="preserve">The second step was a </w:t>
      </w:r>
      <w:proofErr w:type="spellStart"/>
      <w:r>
        <w:t>nucleophilic</w:t>
      </w:r>
      <w:proofErr w:type="spellEnd"/>
      <w:r>
        <w:t xml:space="preserve"> aromatic substitution reaction between the formed crude product—after its </w:t>
      </w:r>
      <w:proofErr w:type="spellStart"/>
      <w:r>
        <w:t>deprotonation</w:t>
      </w:r>
      <w:proofErr w:type="spellEnd"/>
      <w:r>
        <w:t xml:space="preserve"> via </w:t>
      </w:r>
      <w:r w:rsidR="00F859E1">
        <w:t>using potassium t-</w:t>
      </w:r>
      <w:proofErr w:type="spellStart"/>
      <w:r w:rsidR="00F859E1">
        <w:t>butoxide</w:t>
      </w:r>
      <w:proofErr w:type="spellEnd"/>
      <w:r>
        <w:t>—</w:t>
      </w:r>
      <w:r w:rsidR="003B33BC">
        <w:t>and 4-chlorobenzotrifluoride.</w:t>
      </w:r>
      <w:r w:rsidR="009A1664">
        <w:t xml:space="preserve"> </w:t>
      </w:r>
      <w:proofErr w:type="spellStart"/>
      <w:r w:rsidR="00C00ACE">
        <w:t>Deprotonation</w:t>
      </w:r>
      <w:proofErr w:type="spellEnd"/>
      <w:r w:rsidR="00C00ACE">
        <w:t xml:space="preserve"> was necessary </w:t>
      </w:r>
      <w:r w:rsidR="00BB2013">
        <w:t xml:space="preserve">because </w:t>
      </w:r>
      <w:proofErr w:type="gramStart"/>
      <w:r w:rsidR="00C00ACE">
        <w:t>an electron</w:t>
      </w:r>
      <w:proofErr w:type="gramEnd"/>
      <w:r w:rsidR="00C00ACE">
        <w:t xml:space="preserve">-rich oxygen was needed in order for </w:t>
      </w:r>
      <w:proofErr w:type="spellStart"/>
      <w:r w:rsidR="00C00ACE">
        <w:t>nucleophilic</w:t>
      </w:r>
      <w:proofErr w:type="spellEnd"/>
      <w:r w:rsidR="00C00ACE">
        <w:t xml:space="preserve"> aromatic substitution to occur. </w:t>
      </w:r>
    </w:p>
    <w:p w:rsidR="00AD1116" w:rsidRDefault="003A5AAA" w:rsidP="00AD1116">
      <w:pPr>
        <w:spacing w:line="480" w:lineRule="auto"/>
        <w:ind w:firstLine="720"/>
      </w:pPr>
      <w:r>
        <w:t>In making the NMP salt, u</w:t>
      </w:r>
      <w:r w:rsidR="00965931">
        <w:t>sing a</w:t>
      </w:r>
      <w:r w:rsidR="00E90B83">
        <w:t>nhydrous oxalic acid</w:t>
      </w:r>
      <w:r>
        <w:t xml:space="preserve"> and absolute ethanol</w:t>
      </w:r>
      <w:r w:rsidR="00E90B83">
        <w:t xml:space="preserve"> is preferable because amine salts are best formed under anhydrous conditions.</w:t>
      </w:r>
      <w:r w:rsidR="009F6E19">
        <w:t xml:space="preserve"> The final </w:t>
      </w:r>
      <w:r w:rsidR="009F6E19">
        <w:lastRenderedPageBreak/>
        <w:t xml:space="preserve">product was synthesized in a low-to-moderate yield after recrystallization and was characterized </w:t>
      </w:r>
      <w:r w:rsidR="00223C38">
        <w:t xml:space="preserve">by </w:t>
      </w:r>
      <w:r w:rsidR="009F6E19">
        <w:t>melting point</w:t>
      </w:r>
      <w:r w:rsidR="00223C38">
        <w:t xml:space="preserve"> and multiple IR spectra</w:t>
      </w:r>
      <w:r w:rsidR="009F6E19">
        <w:t xml:space="preserve">. H NMR from a reference article </w:t>
      </w:r>
      <w:r w:rsidR="00306969">
        <w:t>was also included.</w:t>
      </w:r>
      <w:r w:rsidR="00AD1116">
        <w:t xml:space="preserve"> The experimental melting point was well within the range of what was expected from this experiment (120-150 </w:t>
      </w:r>
      <w:r w:rsidR="00AD1116" w:rsidRPr="00931ED5">
        <w:t>°C</w:t>
      </w:r>
      <w:r w:rsidR="00AD1116">
        <w:t>), and was only slightly lower than that of the specific “goal” melting point</w:t>
      </w:r>
      <w:r w:rsidR="001B2FA7">
        <w:t>. This helps to confirm the presence of NMP, but is not specific enough by itself to efficiently confirm the identity of the product.</w:t>
      </w:r>
    </w:p>
    <w:p w:rsidR="0019344E" w:rsidRDefault="0019344E" w:rsidP="00AD1116">
      <w:pPr>
        <w:spacing w:line="480" w:lineRule="auto"/>
        <w:ind w:firstLine="720"/>
      </w:pPr>
      <w:r>
        <w:t xml:space="preserve">The IR </w:t>
      </w:r>
      <w:proofErr w:type="gramStart"/>
      <w:r>
        <w:t>spectra was</w:t>
      </w:r>
      <w:proofErr w:type="gramEnd"/>
      <w:r>
        <w:t xml:space="preserve"> much more efficient at confirming the identity of NMP as the final product. The most important peaks in the IR of 3-(</w:t>
      </w:r>
      <w:proofErr w:type="spellStart"/>
      <w:r>
        <w:t>dimethylamino</w:t>
      </w:r>
      <w:proofErr w:type="spellEnd"/>
      <w:r>
        <w:t>)-</w:t>
      </w:r>
      <w:proofErr w:type="spellStart"/>
      <w:r>
        <w:t>phenylpropanol</w:t>
      </w:r>
      <w:proofErr w:type="spellEnd"/>
      <w:r>
        <w:t xml:space="preserve"> is the OH peak. This confirms that the carbonyl was successfully reduced. Although the peak at 1660.07 or 1650.63 could be unreacted carbonyl group, this seems extremely unlikely </w:t>
      </w:r>
      <w:r w:rsidR="00020CBF">
        <w:t xml:space="preserve">because </w:t>
      </w:r>
      <w:r>
        <w:t xml:space="preserve">excess sodium </w:t>
      </w:r>
      <w:proofErr w:type="spellStart"/>
      <w:r>
        <w:t>borohydride</w:t>
      </w:r>
      <w:proofErr w:type="spellEnd"/>
      <w:r>
        <w:t xml:space="preserve"> was used</w:t>
      </w:r>
      <w:r w:rsidR="002C4B51">
        <w:t xml:space="preserve"> to ensure the reaction</w:t>
      </w:r>
      <w:r w:rsidR="00020CBF">
        <w:t xml:space="preserve"> and also because a ketone group, even a conjugated one, usually has a wavenumber between 1750-1680</w:t>
      </w:r>
      <w:r>
        <w:t xml:space="preserve">. Therefore, it seems more likely that these peaks are accounted for by the conjugated C-C and aromatic C=C bonds of the </w:t>
      </w:r>
      <w:r w:rsidR="005B1484">
        <w:t>benzene ring</w:t>
      </w:r>
      <w:r>
        <w:t>. The peak at 1038.14 could account for the C-N group of the amine, but is unspecific, as this peak can be overlapped with other groups fairly easily.</w:t>
      </w:r>
      <w:r w:rsidR="00020CBF">
        <w:t xml:space="preserve"> </w:t>
      </w:r>
    </w:p>
    <w:p w:rsidR="002C4B51" w:rsidRDefault="002C4B51" w:rsidP="00AD1116">
      <w:pPr>
        <w:spacing w:line="480" w:lineRule="auto"/>
        <w:ind w:firstLine="720"/>
      </w:pPr>
      <w:r>
        <w:t xml:space="preserve">The IR spectrum of NMP </w:t>
      </w:r>
      <w:r w:rsidR="00720A37">
        <w:t xml:space="preserve">shows contamination, which isn’t unexpected. The contamination at 3399.47 is unreacted </w:t>
      </w:r>
      <w:r w:rsidR="00720A37">
        <w:t>3-(</w:t>
      </w:r>
      <w:proofErr w:type="spellStart"/>
      <w:r w:rsidR="00720A37">
        <w:t>dimethylamino</w:t>
      </w:r>
      <w:proofErr w:type="spellEnd"/>
      <w:r w:rsidR="00720A37">
        <w:t>)-</w:t>
      </w:r>
      <w:proofErr w:type="spellStart"/>
      <w:r w:rsidR="00720A37">
        <w:t>phenylpropanol</w:t>
      </w:r>
      <w:proofErr w:type="spellEnd"/>
      <w:r w:rsidR="00720A37">
        <w:t>.</w:t>
      </w:r>
      <w:r w:rsidR="005B1484">
        <w:t xml:space="preserve"> Again, the peak at 1621.10 is unlikely to be unreacted carbonyl, so it is more likely to be C-C bonds of the benzene ring</w:t>
      </w:r>
      <w:r w:rsidR="00072E26">
        <w:t>. The peak at 1196.62 coul</w:t>
      </w:r>
      <w:r w:rsidR="001601F4">
        <w:t xml:space="preserve">d be the C-N group of the amine, </w:t>
      </w:r>
      <w:r w:rsidR="00C74C2A">
        <w:t xml:space="preserve">but could also be the C-F bond of the </w:t>
      </w:r>
      <w:proofErr w:type="spellStart"/>
      <w:r w:rsidR="00C74C2A">
        <w:t>trifluromethyl</w:t>
      </w:r>
      <w:proofErr w:type="spellEnd"/>
      <w:r w:rsidR="00C74C2A">
        <w:t xml:space="preserve"> group</w:t>
      </w:r>
      <w:r w:rsidR="001601F4">
        <w:t xml:space="preserve">. </w:t>
      </w:r>
      <w:r w:rsidR="00C36359">
        <w:t xml:space="preserve">The peak at </w:t>
      </w:r>
      <w:r w:rsidR="00C36359">
        <w:t>1263.56</w:t>
      </w:r>
      <w:r w:rsidR="00C36359">
        <w:t xml:space="preserve"> seems </w:t>
      </w:r>
      <w:r w:rsidR="00EE15B3">
        <w:t>is</w:t>
      </w:r>
      <w:r w:rsidR="00C74C2A">
        <w:t xml:space="preserve"> the C-O ether bond.</w:t>
      </w:r>
    </w:p>
    <w:p w:rsidR="003E334D" w:rsidRDefault="003E334D" w:rsidP="00AD1116">
      <w:pPr>
        <w:spacing w:line="480" w:lineRule="auto"/>
        <w:ind w:firstLine="720"/>
      </w:pPr>
      <w:r>
        <w:lastRenderedPageBreak/>
        <w:t>The IR spectrum of the NMP oxalic salt is not very soluble in ethyl acetate, so this spectrum has the potential to be contaminated or otherwise wrong.</w:t>
      </w:r>
      <w:r w:rsidR="00A42DC3">
        <w:t xml:space="preserve"> The spectrum shows a lack of any OH peak, which suggests </w:t>
      </w:r>
      <w:proofErr w:type="gramStart"/>
      <w:r w:rsidR="00A42DC3">
        <w:t>that</w:t>
      </w:r>
      <w:proofErr w:type="gramEnd"/>
      <w:r w:rsidR="00A42DC3">
        <w:t xml:space="preserve"> the unreacted </w:t>
      </w:r>
      <w:r w:rsidR="00A42DC3">
        <w:t>3-(</w:t>
      </w:r>
      <w:proofErr w:type="spellStart"/>
      <w:r w:rsidR="00A42DC3">
        <w:t>dimethylamino</w:t>
      </w:r>
      <w:proofErr w:type="spellEnd"/>
      <w:r w:rsidR="00A42DC3">
        <w:t>)-</w:t>
      </w:r>
      <w:proofErr w:type="spellStart"/>
      <w:r w:rsidR="00A42DC3">
        <w:t>phenylpropanol</w:t>
      </w:r>
      <w:proofErr w:type="spellEnd"/>
      <w:r w:rsidR="00A42DC3">
        <w:t xml:space="preserve"> also became its oxalic salt, which is hard to isolate from the desired product. However, the strong peak at 1246.04 could appropriately be the C-O ether bond.</w:t>
      </w:r>
      <w:r w:rsidR="00CF5AA6">
        <w:t xml:space="preserve"> Similarly, the peak at 1057.02 could be either the amine or the </w:t>
      </w:r>
      <w:proofErr w:type="spellStart"/>
      <w:r w:rsidR="00CF5AA6">
        <w:t>trifluoromethyl</w:t>
      </w:r>
      <w:proofErr w:type="spellEnd"/>
      <w:r w:rsidR="00CF5AA6">
        <w:t xml:space="preserve"> group. </w:t>
      </w:r>
      <w:r w:rsidR="00EA7399">
        <w:t xml:space="preserve">The peaks at 1768.91 and 1757.89 are extremely hard to identify because their wavenumbers are too high to suggest a ketone, but could be explained by the contaminating oxalate salt of </w:t>
      </w:r>
      <w:r w:rsidR="00EA7399">
        <w:t>3-(</w:t>
      </w:r>
      <w:proofErr w:type="spellStart"/>
      <w:r w:rsidR="00EA7399">
        <w:t>dimethylamino</w:t>
      </w:r>
      <w:proofErr w:type="spellEnd"/>
      <w:r w:rsidR="00EA7399">
        <w:t>)-</w:t>
      </w:r>
      <w:proofErr w:type="spellStart"/>
      <w:r w:rsidR="00EA7399">
        <w:t>phenylpropanol</w:t>
      </w:r>
      <w:proofErr w:type="spellEnd"/>
      <w:r w:rsidR="00EA7399">
        <w:t>.</w:t>
      </w:r>
      <w:r w:rsidR="003B5778">
        <w:t xml:space="preserve"> Overall, the oxalate salt IR is very unspecific and generally unhelpful in characterization. However, the previous IR suggests the successful synthesis of NMP.</w:t>
      </w:r>
    </w:p>
    <w:p w:rsidR="00B90722" w:rsidRDefault="00B90722" w:rsidP="00AD1116">
      <w:pPr>
        <w:spacing w:line="480" w:lineRule="auto"/>
        <w:ind w:firstLine="720"/>
      </w:pPr>
      <w:r w:rsidRPr="00B90722">
        <w:rPr>
          <w:highlight w:val="yellow"/>
        </w:rPr>
        <w:t>HNMR</w:t>
      </w:r>
    </w:p>
    <w:p w:rsidR="00B90722" w:rsidRPr="003E2678" w:rsidRDefault="00B90722" w:rsidP="00AD1116">
      <w:pPr>
        <w:spacing w:line="480" w:lineRule="auto"/>
        <w:ind w:firstLine="720"/>
      </w:pPr>
      <w:r>
        <w:t xml:space="preserve">While this experiment was executed successfully, there were several areas that could use improvement. </w:t>
      </w:r>
      <w:r w:rsidR="00C10D43">
        <w:t xml:space="preserve">It is imperative that directions are read correctly and that amounts of starting material be correct. If the amount of </w:t>
      </w:r>
      <w:r w:rsidR="00C10D43" w:rsidRPr="00AC34D7">
        <w:t>3-dimethylaminopropiophenone</w:t>
      </w:r>
      <w:r w:rsidR="00C10D43">
        <w:t xml:space="preserve"> hydrochloride</w:t>
      </w:r>
      <w:r w:rsidR="00C10D43">
        <w:t xml:space="preserve"> is too small, e.g., 0.2 g instead of the recommended 2.0 g, no crystals will </w:t>
      </w:r>
      <w:r w:rsidR="00D5726A">
        <w:t xml:space="preserve">be synthesized at the end of the experiment. </w:t>
      </w:r>
      <w:r w:rsidR="00256DB3">
        <w:t>The yield of the final product could have been improved upon by distilling for a longer time</w:t>
      </w:r>
      <w:r w:rsidR="0058121D">
        <w:t xml:space="preserve">, and </w:t>
      </w:r>
      <w:r w:rsidR="00FF03A3">
        <w:t xml:space="preserve">longer </w:t>
      </w:r>
      <w:r w:rsidR="0058121D">
        <w:t>distillation could also decrease chances of contamination in the synthesis of NMP</w:t>
      </w:r>
      <w:r w:rsidR="00256DB3">
        <w:t xml:space="preserve">. It would also be beneficial for </w:t>
      </w:r>
      <w:proofErr w:type="gramStart"/>
      <w:r w:rsidR="00256DB3">
        <w:t>a</w:t>
      </w:r>
      <w:proofErr w:type="gramEnd"/>
      <w:r w:rsidR="00256DB3">
        <w:t xml:space="preserve"> H NMR to be done to further confirm the identity of the product.</w:t>
      </w:r>
    </w:p>
    <w:p w:rsidR="00635535" w:rsidRDefault="00635535" w:rsidP="005D7845">
      <w:pPr>
        <w:spacing w:line="480" w:lineRule="auto"/>
        <w:rPr>
          <w:b/>
        </w:rPr>
      </w:pPr>
    </w:p>
    <w:p w:rsidR="00635535" w:rsidRDefault="00635535" w:rsidP="005D7845">
      <w:pPr>
        <w:spacing w:line="480" w:lineRule="auto"/>
        <w:rPr>
          <w:b/>
        </w:rPr>
      </w:pPr>
    </w:p>
    <w:p w:rsidR="00635535" w:rsidRDefault="00635535" w:rsidP="005D7845">
      <w:pPr>
        <w:spacing w:line="480" w:lineRule="auto"/>
        <w:rPr>
          <w:b/>
        </w:rPr>
      </w:pPr>
    </w:p>
    <w:p w:rsidR="00A54E39" w:rsidRDefault="00A54E39" w:rsidP="005D7845">
      <w:pPr>
        <w:spacing w:line="480" w:lineRule="auto"/>
        <w:rPr>
          <w:b/>
        </w:rPr>
      </w:pPr>
      <w:bookmarkStart w:id="0" w:name="_GoBack"/>
      <w:bookmarkEnd w:id="0"/>
      <w:r>
        <w:rPr>
          <w:b/>
        </w:rPr>
        <w:lastRenderedPageBreak/>
        <w:t>Conclusion</w:t>
      </w:r>
    </w:p>
    <w:p w:rsidR="00A85E50" w:rsidRPr="00A85E50" w:rsidRDefault="00A85E50" w:rsidP="00A85E50">
      <w:pPr>
        <w:spacing w:line="480" w:lineRule="auto"/>
      </w:pPr>
      <w:r>
        <w:t xml:space="preserve">NMP was successfully prepared and characterized via a two-step synthesis with minimum error. This experiment allowed students the chance to synthesize a compound in an intriguing and </w:t>
      </w:r>
      <w:r>
        <w:t xml:space="preserve">exciting </w:t>
      </w:r>
      <w:r>
        <w:t>way, similar to</w:t>
      </w:r>
      <w:r>
        <w:t xml:space="preserve"> practicing “real” pharmaceutical chemistry.</w:t>
      </w:r>
    </w:p>
    <w:p w:rsidR="00EB5335" w:rsidRPr="00A54E39" w:rsidRDefault="00EB5335" w:rsidP="005D7845">
      <w:pPr>
        <w:spacing w:line="480" w:lineRule="auto"/>
      </w:pPr>
      <w:r>
        <w:rPr>
          <w:b/>
        </w:rPr>
        <w:t>References</w:t>
      </w:r>
    </w:p>
    <w:p w:rsidR="00ED7870" w:rsidRDefault="00CE59FE">
      <w:r>
        <w:t xml:space="preserve">(1) Perrine, D.M.; </w:t>
      </w:r>
      <w:proofErr w:type="spellStart"/>
      <w:r>
        <w:t>Sabanayagam</w:t>
      </w:r>
      <w:proofErr w:type="spellEnd"/>
      <w:r>
        <w:t xml:space="preserve">, N. R.; Reynolds, K. J. </w:t>
      </w:r>
      <w:r>
        <w:rPr>
          <w:i/>
        </w:rPr>
        <w:t xml:space="preserve">J. Chem. Ed. </w:t>
      </w:r>
      <w:r>
        <w:rPr>
          <w:b/>
        </w:rPr>
        <w:t>1998</w:t>
      </w:r>
      <w:r>
        <w:t>, 1266.</w:t>
      </w:r>
    </w:p>
    <w:p w:rsidR="00CE59FE" w:rsidRPr="00CE59FE" w:rsidRDefault="00CE59FE"/>
    <w:p w:rsidR="00CE59FE" w:rsidRDefault="00CE59FE"/>
    <w:sectPr w:rsidR="00CE59FE" w:rsidSect="00D9379A">
      <w:headerReference w:type="default" r:id="rId1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06B" w:rsidRDefault="00E7406B" w:rsidP="00D238B9">
      <w:r>
        <w:separator/>
      </w:r>
    </w:p>
  </w:endnote>
  <w:endnote w:type="continuationSeparator" w:id="0">
    <w:p w:rsidR="00E7406B" w:rsidRDefault="00E7406B" w:rsidP="00D23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06B" w:rsidRDefault="00E7406B" w:rsidP="00D238B9">
      <w:r>
        <w:separator/>
      </w:r>
    </w:p>
  </w:footnote>
  <w:footnote w:type="continuationSeparator" w:id="0">
    <w:p w:rsidR="00E7406B" w:rsidRDefault="00E7406B" w:rsidP="00D238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8B9" w:rsidRDefault="00D238B9" w:rsidP="00D238B9">
    <w:pPr>
      <w:pStyle w:val="Header"/>
      <w:jc w:val="right"/>
    </w:pPr>
    <w:proofErr w:type="spellStart"/>
    <w:r>
      <w:t>Bri</w:t>
    </w:r>
    <w:proofErr w:type="spellEnd"/>
    <w:r>
      <w:t xml:space="preserve"> Cousineau</w:t>
    </w:r>
  </w:p>
  <w:p w:rsidR="00D238B9" w:rsidRDefault="00D238B9" w:rsidP="00D238B9">
    <w:pPr>
      <w:pStyle w:val="Header"/>
      <w:jc w:val="right"/>
    </w:pPr>
    <w:r>
      <w:t>CHEM-313L-03</w:t>
    </w:r>
  </w:p>
  <w:p w:rsidR="00D238B9" w:rsidRDefault="00D238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6B5"/>
    <w:rsid w:val="00020B47"/>
    <w:rsid w:val="00020CBF"/>
    <w:rsid w:val="000276B4"/>
    <w:rsid w:val="000376B5"/>
    <w:rsid w:val="00050E0B"/>
    <w:rsid w:val="0007023A"/>
    <w:rsid w:val="00072E26"/>
    <w:rsid w:val="0007465C"/>
    <w:rsid w:val="000767AD"/>
    <w:rsid w:val="0009083F"/>
    <w:rsid w:val="000D0A1D"/>
    <w:rsid w:val="000D0B94"/>
    <w:rsid w:val="000D2718"/>
    <w:rsid w:val="000F26D4"/>
    <w:rsid w:val="000F46F5"/>
    <w:rsid w:val="00105EAC"/>
    <w:rsid w:val="001212E7"/>
    <w:rsid w:val="00121D24"/>
    <w:rsid w:val="00135F4D"/>
    <w:rsid w:val="001601F4"/>
    <w:rsid w:val="00172714"/>
    <w:rsid w:val="0019344E"/>
    <w:rsid w:val="001A312F"/>
    <w:rsid w:val="001B2FA7"/>
    <w:rsid w:val="001E78D8"/>
    <w:rsid w:val="00222775"/>
    <w:rsid w:val="00223C38"/>
    <w:rsid w:val="00244C90"/>
    <w:rsid w:val="00256DB3"/>
    <w:rsid w:val="00277C2D"/>
    <w:rsid w:val="002A2391"/>
    <w:rsid w:val="002B1E8E"/>
    <w:rsid w:val="002B20E7"/>
    <w:rsid w:val="002B7DFC"/>
    <w:rsid w:val="002C4B51"/>
    <w:rsid w:val="002D0693"/>
    <w:rsid w:val="002D2BCC"/>
    <w:rsid w:val="002D43E4"/>
    <w:rsid w:val="002E1238"/>
    <w:rsid w:val="002E2CDC"/>
    <w:rsid w:val="002F26E5"/>
    <w:rsid w:val="00306969"/>
    <w:rsid w:val="0030742B"/>
    <w:rsid w:val="00330BDB"/>
    <w:rsid w:val="00335BFC"/>
    <w:rsid w:val="00345D9E"/>
    <w:rsid w:val="0037473D"/>
    <w:rsid w:val="00397A7C"/>
    <w:rsid w:val="003A5AAA"/>
    <w:rsid w:val="003B33BC"/>
    <w:rsid w:val="003B5778"/>
    <w:rsid w:val="003B59CB"/>
    <w:rsid w:val="003C0B00"/>
    <w:rsid w:val="003C4869"/>
    <w:rsid w:val="003D1B05"/>
    <w:rsid w:val="003D3783"/>
    <w:rsid w:val="003D3CC3"/>
    <w:rsid w:val="003E2678"/>
    <w:rsid w:val="003E334D"/>
    <w:rsid w:val="00401785"/>
    <w:rsid w:val="004075B1"/>
    <w:rsid w:val="0041302C"/>
    <w:rsid w:val="00415E11"/>
    <w:rsid w:val="0044796A"/>
    <w:rsid w:val="00463F8D"/>
    <w:rsid w:val="0046784F"/>
    <w:rsid w:val="00467866"/>
    <w:rsid w:val="0049269F"/>
    <w:rsid w:val="004C102A"/>
    <w:rsid w:val="004C497E"/>
    <w:rsid w:val="004E14B2"/>
    <w:rsid w:val="0052118E"/>
    <w:rsid w:val="00547D0E"/>
    <w:rsid w:val="0058121D"/>
    <w:rsid w:val="00590BA1"/>
    <w:rsid w:val="005A4440"/>
    <w:rsid w:val="005A4F68"/>
    <w:rsid w:val="005B1484"/>
    <w:rsid w:val="005C22D0"/>
    <w:rsid w:val="005D0C84"/>
    <w:rsid w:val="005D7845"/>
    <w:rsid w:val="005E17AF"/>
    <w:rsid w:val="00602CE6"/>
    <w:rsid w:val="00606F6C"/>
    <w:rsid w:val="006075C9"/>
    <w:rsid w:val="00614E2D"/>
    <w:rsid w:val="00620AF6"/>
    <w:rsid w:val="00621DB9"/>
    <w:rsid w:val="006270CB"/>
    <w:rsid w:val="00635535"/>
    <w:rsid w:val="006764E8"/>
    <w:rsid w:val="006804FA"/>
    <w:rsid w:val="006A7FD4"/>
    <w:rsid w:val="006B1AB5"/>
    <w:rsid w:val="006E0BBF"/>
    <w:rsid w:val="006E4A10"/>
    <w:rsid w:val="00720A37"/>
    <w:rsid w:val="0073169B"/>
    <w:rsid w:val="0073228D"/>
    <w:rsid w:val="007745FA"/>
    <w:rsid w:val="00792959"/>
    <w:rsid w:val="00795D8E"/>
    <w:rsid w:val="007A13D4"/>
    <w:rsid w:val="007A72C6"/>
    <w:rsid w:val="007C0E9A"/>
    <w:rsid w:val="007D6B84"/>
    <w:rsid w:val="007E0F03"/>
    <w:rsid w:val="00803212"/>
    <w:rsid w:val="0084487E"/>
    <w:rsid w:val="008527F5"/>
    <w:rsid w:val="008900CA"/>
    <w:rsid w:val="00891A82"/>
    <w:rsid w:val="008B359C"/>
    <w:rsid w:val="008D25DB"/>
    <w:rsid w:val="008E38AB"/>
    <w:rsid w:val="008E4D7D"/>
    <w:rsid w:val="00931ED5"/>
    <w:rsid w:val="00952D80"/>
    <w:rsid w:val="00965931"/>
    <w:rsid w:val="00980BC8"/>
    <w:rsid w:val="009A1664"/>
    <w:rsid w:val="009A41DC"/>
    <w:rsid w:val="009D00E8"/>
    <w:rsid w:val="009F6E19"/>
    <w:rsid w:val="00A06304"/>
    <w:rsid w:val="00A12FEA"/>
    <w:rsid w:val="00A33BED"/>
    <w:rsid w:val="00A42DC3"/>
    <w:rsid w:val="00A46ADE"/>
    <w:rsid w:val="00A54E39"/>
    <w:rsid w:val="00A67AFF"/>
    <w:rsid w:val="00A70814"/>
    <w:rsid w:val="00A71707"/>
    <w:rsid w:val="00A83DDE"/>
    <w:rsid w:val="00A85E50"/>
    <w:rsid w:val="00A8721A"/>
    <w:rsid w:val="00A87C1C"/>
    <w:rsid w:val="00A943B7"/>
    <w:rsid w:val="00AA5CA8"/>
    <w:rsid w:val="00AB4D02"/>
    <w:rsid w:val="00AC34D7"/>
    <w:rsid w:val="00AD1116"/>
    <w:rsid w:val="00AF394B"/>
    <w:rsid w:val="00B165E8"/>
    <w:rsid w:val="00B244DF"/>
    <w:rsid w:val="00B443C9"/>
    <w:rsid w:val="00B719FE"/>
    <w:rsid w:val="00B90722"/>
    <w:rsid w:val="00B96901"/>
    <w:rsid w:val="00BB2013"/>
    <w:rsid w:val="00BD1787"/>
    <w:rsid w:val="00BE1243"/>
    <w:rsid w:val="00C00ACE"/>
    <w:rsid w:val="00C01ED3"/>
    <w:rsid w:val="00C04703"/>
    <w:rsid w:val="00C10D43"/>
    <w:rsid w:val="00C331C8"/>
    <w:rsid w:val="00C36359"/>
    <w:rsid w:val="00C40F67"/>
    <w:rsid w:val="00C500E5"/>
    <w:rsid w:val="00C5365D"/>
    <w:rsid w:val="00C744AA"/>
    <w:rsid w:val="00C74C2A"/>
    <w:rsid w:val="00C74FE0"/>
    <w:rsid w:val="00C76A18"/>
    <w:rsid w:val="00CA20DD"/>
    <w:rsid w:val="00CB5906"/>
    <w:rsid w:val="00CC2382"/>
    <w:rsid w:val="00CD77BB"/>
    <w:rsid w:val="00CE4C2A"/>
    <w:rsid w:val="00CE59FE"/>
    <w:rsid w:val="00CF5AA6"/>
    <w:rsid w:val="00D238B9"/>
    <w:rsid w:val="00D52A29"/>
    <w:rsid w:val="00D5726A"/>
    <w:rsid w:val="00D66E1D"/>
    <w:rsid w:val="00D9379A"/>
    <w:rsid w:val="00D97F4F"/>
    <w:rsid w:val="00DA2AA7"/>
    <w:rsid w:val="00DA49CC"/>
    <w:rsid w:val="00DD4092"/>
    <w:rsid w:val="00DD6D74"/>
    <w:rsid w:val="00DF08FD"/>
    <w:rsid w:val="00E07F45"/>
    <w:rsid w:val="00E15820"/>
    <w:rsid w:val="00E1676B"/>
    <w:rsid w:val="00E26E54"/>
    <w:rsid w:val="00E3231B"/>
    <w:rsid w:val="00E65BDB"/>
    <w:rsid w:val="00E73DCC"/>
    <w:rsid w:val="00E7406B"/>
    <w:rsid w:val="00E77F06"/>
    <w:rsid w:val="00E90B83"/>
    <w:rsid w:val="00EA587F"/>
    <w:rsid w:val="00EA7399"/>
    <w:rsid w:val="00EA75CA"/>
    <w:rsid w:val="00EB5335"/>
    <w:rsid w:val="00ED7870"/>
    <w:rsid w:val="00EE15B3"/>
    <w:rsid w:val="00EE3CA5"/>
    <w:rsid w:val="00F274A1"/>
    <w:rsid w:val="00F27CC1"/>
    <w:rsid w:val="00F701D1"/>
    <w:rsid w:val="00F72082"/>
    <w:rsid w:val="00F7660D"/>
    <w:rsid w:val="00F80F8D"/>
    <w:rsid w:val="00F859E1"/>
    <w:rsid w:val="00FF03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6B5"/>
    <w:pPr>
      <w:spacing w:after="0"/>
    </w:pPr>
    <w:rPr>
      <w:rFonts w:ascii="Times New Roman" w:eastAsiaTheme="minorHAnsi" w:hAnsi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76B5"/>
    <w:pPr>
      <w:spacing w:after="0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238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38B9"/>
    <w:rPr>
      <w:rFonts w:ascii="Times New Roman" w:eastAsiaTheme="minorHAnsi" w:hAnsi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238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38B9"/>
    <w:rPr>
      <w:rFonts w:ascii="Times New Roman" w:eastAsiaTheme="minorHAnsi" w:hAnsi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8B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6B5"/>
    <w:pPr>
      <w:spacing w:after="0"/>
    </w:pPr>
    <w:rPr>
      <w:rFonts w:ascii="Times New Roman" w:eastAsiaTheme="minorHAnsi" w:hAnsi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76B5"/>
    <w:pPr>
      <w:spacing w:after="0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238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38B9"/>
    <w:rPr>
      <w:rFonts w:ascii="Times New Roman" w:eastAsiaTheme="minorHAnsi" w:hAnsi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238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38B9"/>
    <w:rPr>
      <w:rFonts w:ascii="Times New Roman" w:eastAsiaTheme="minorHAnsi" w:hAnsi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8B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7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8</Pages>
  <Words>1544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Augustana College</Company>
  <LinksUpToDate>false</LinksUpToDate>
  <CharactersWithSpaces>10326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Domski</dc:creator>
  <cp:keywords/>
  <dc:description/>
  <cp:lastModifiedBy>Brianna</cp:lastModifiedBy>
  <cp:revision>241</cp:revision>
  <cp:lastPrinted>2013-09-11T15:34:00Z</cp:lastPrinted>
  <dcterms:created xsi:type="dcterms:W3CDTF">2013-09-11T15:33:00Z</dcterms:created>
  <dcterms:modified xsi:type="dcterms:W3CDTF">2014-05-13T05:15:00Z</dcterms:modified>
</cp:coreProperties>
</file>