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745" w:rsidRPr="00E66FA0" w:rsidRDefault="00B34745">
      <w:pPr>
        <w:rPr>
          <w:b/>
          <w:sz w:val="24"/>
        </w:rPr>
      </w:pPr>
      <w:r w:rsidRPr="00E66FA0">
        <w:rPr>
          <w:b/>
          <w:sz w:val="24"/>
        </w:rPr>
        <w:t>Innleveringsoppgave Kjemi 1</w:t>
      </w:r>
    </w:p>
    <w:p w:rsidR="00B34745" w:rsidRPr="00FA34D4" w:rsidRDefault="00B34745">
      <w:pPr>
        <w:rPr>
          <w:i/>
        </w:rPr>
      </w:pPr>
      <w:r w:rsidRPr="00FA34D4">
        <w:rPr>
          <w:i/>
        </w:rPr>
        <w:t>Kap. 9-10</w:t>
      </w:r>
    </w:p>
    <w:p w:rsidR="00B34745" w:rsidRPr="00A50004" w:rsidRDefault="00B34745">
      <w:pPr>
        <w:rPr>
          <w:b/>
        </w:rPr>
      </w:pPr>
      <w:r w:rsidRPr="00A50004">
        <w:rPr>
          <w:b/>
        </w:rPr>
        <w:t>Oppg.1</w:t>
      </w:r>
    </w:p>
    <w:p w:rsidR="00B34745" w:rsidRDefault="00B34745">
      <w:r w:rsidRPr="00B34745">
        <w:t>a) Pentan</w:t>
      </w:r>
      <w:r w:rsidRPr="00B34745">
        <w:br/>
        <w:t>b) 2-metylpentan</w:t>
      </w:r>
      <w:r w:rsidRPr="00B34745">
        <w:br/>
        <w:t>c) 4-etyl-2-metylnonan</w:t>
      </w:r>
      <w:r w:rsidRPr="00B34745">
        <w:br/>
        <w:t>d) 3-metylpentan-2-on</w:t>
      </w:r>
      <w:r w:rsidRPr="00B34745">
        <w:br/>
        <w:t>e) 3-metylbutanal</w:t>
      </w:r>
      <w:r w:rsidRPr="00B34745">
        <w:br/>
        <w:t>f) etylbutanat</w:t>
      </w:r>
      <w:r w:rsidRPr="00B34745">
        <w:br/>
        <w:t>g) butylpropyleter</w:t>
      </w:r>
      <w:r w:rsidR="00A50004">
        <w:br/>
        <w:t>h)butylpropylamin</w:t>
      </w:r>
      <w:r w:rsidR="00A50004">
        <w:br/>
        <w:t>i) 3-metylheptan-1,3,6-triol</w:t>
      </w:r>
    </w:p>
    <w:p w:rsidR="00A50004" w:rsidRPr="00A50004" w:rsidRDefault="00A50004">
      <w:pPr>
        <w:rPr>
          <w:b/>
        </w:rPr>
      </w:pPr>
      <w:r w:rsidRPr="00A50004">
        <w:rPr>
          <w:b/>
        </w:rPr>
        <w:t>Oppg.2</w:t>
      </w:r>
    </w:p>
    <w:p w:rsidR="00A50004" w:rsidRDefault="003E469A">
      <w:r>
        <w:rPr>
          <w:noProof/>
        </w:rPr>
        <w:drawing>
          <wp:inline distT="0" distB="0" distL="0" distR="0">
            <wp:extent cx="5762625" cy="21526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69A" w:rsidRPr="003E469A" w:rsidRDefault="003E469A">
      <w:pPr>
        <w:rPr>
          <w:b/>
        </w:rPr>
      </w:pPr>
      <w:r w:rsidRPr="003E469A">
        <w:rPr>
          <w:b/>
        </w:rPr>
        <w:t>Oppg.3</w:t>
      </w:r>
    </w:p>
    <w:p w:rsidR="003E469A" w:rsidRDefault="003E469A">
      <w:r>
        <w:t>Metanol er godt løselig i vann fordi begge er polare stoffer (på grunn av forskjellen i elektronegativitet mellom O og H). Det vil dermed oppstå hydrogenbindinger mellom vann og metanol, og dette kan gjøres slik det vises på figurene:</w:t>
      </w:r>
    </w:p>
    <w:p w:rsidR="002B0B2D" w:rsidRDefault="003E469A">
      <w:r w:rsidRPr="003E469A">
        <w:rPr>
          <w:b/>
          <w:sz w:val="28"/>
        </w:rPr>
        <w:t>A</w:t>
      </w:r>
      <w:r w:rsidRPr="003E469A">
        <w:rPr>
          <w:b/>
          <w:sz w:val="28"/>
        </w:rPr>
        <w:tab/>
      </w:r>
      <w:r w:rsidRPr="003E469A">
        <w:rPr>
          <w:b/>
          <w:sz w:val="28"/>
        </w:rPr>
        <w:tab/>
      </w:r>
      <w:r w:rsidRPr="003E469A">
        <w:rPr>
          <w:b/>
          <w:sz w:val="28"/>
        </w:rPr>
        <w:tab/>
      </w:r>
      <w:r w:rsidRPr="003E469A">
        <w:rPr>
          <w:b/>
          <w:sz w:val="28"/>
        </w:rPr>
        <w:tab/>
      </w:r>
      <w:r w:rsidRPr="003E469A">
        <w:rPr>
          <w:b/>
          <w:sz w:val="28"/>
        </w:rPr>
        <w:tab/>
      </w:r>
      <w:r w:rsidRPr="003E469A">
        <w:rPr>
          <w:b/>
          <w:sz w:val="28"/>
        </w:rPr>
        <w:tab/>
      </w:r>
      <w:r w:rsidRPr="003E469A">
        <w:rPr>
          <w:b/>
          <w:sz w:val="28"/>
        </w:rPr>
        <w:tab/>
      </w:r>
      <w:r w:rsidRPr="003E469A">
        <w:rPr>
          <w:b/>
          <w:sz w:val="28"/>
        </w:rPr>
        <w:tab/>
        <w:t>B</w:t>
      </w:r>
      <w:r>
        <w:br/>
      </w:r>
      <w:r>
        <w:rPr>
          <w:noProof/>
        </w:rPr>
        <w:drawing>
          <wp:inline distT="0" distB="0" distL="0" distR="0">
            <wp:extent cx="1743075" cy="112395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695450" cy="11906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B2D" w:rsidRDefault="002B0B2D">
      <w:r>
        <w:br w:type="page"/>
      </w:r>
    </w:p>
    <w:p w:rsidR="003E469A" w:rsidRPr="002F3A45" w:rsidRDefault="002B0B2D">
      <w:pPr>
        <w:rPr>
          <w:b/>
        </w:rPr>
      </w:pPr>
      <w:r w:rsidRPr="002F3A45">
        <w:rPr>
          <w:b/>
        </w:rPr>
        <w:lastRenderedPageBreak/>
        <w:t>Oppg.4</w:t>
      </w:r>
    </w:p>
    <w:p w:rsidR="002B0B2D" w:rsidRDefault="002B0B2D">
      <w:r>
        <w:t>Dietyleter er et ikke veldig løselig i v</w:t>
      </w:r>
      <w:r w:rsidR="002F58F2">
        <w:t>ann, fordi det er upolart. Etere har ikke hydrogenatomer i binding med oksygenatomet, og det vil dermed ikke en forskjell i elektronegativitet slik som det er i vann, og stoffet er dermed upolart. For dietyleter er det for det meste bare midlertidige dipolbindinger</w:t>
      </w:r>
    </w:p>
    <w:p w:rsidR="002F3A45" w:rsidRPr="00E66FA0" w:rsidRDefault="002F3A45">
      <w:pPr>
        <w:rPr>
          <w:b/>
        </w:rPr>
      </w:pPr>
      <w:r w:rsidRPr="00E66FA0">
        <w:rPr>
          <w:b/>
        </w:rPr>
        <w:t>Oppg.5</w:t>
      </w:r>
    </w:p>
    <w:p w:rsidR="002F3A45" w:rsidRPr="00E66FA0" w:rsidRDefault="00771D57">
      <w:r>
        <w:t>a)</w:t>
      </w:r>
    </w:p>
    <w:p w:rsidR="002F3A45" w:rsidRDefault="003431EC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COOH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</m:t>
              </m:r>
            </m:e>
          </m:d>
          <m:r>
            <w:rPr>
              <w:rFonts w:ascii="Cambria Math" w:hAnsi="Cambria Math"/>
            </w:rPr>
            <m:t>+NaOH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aq</m:t>
              </m:r>
            </m:e>
          </m:d>
          <m:r>
            <w:rPr>
              <w:rFonts w:ascii="Cambria Math" w:hAnsi="Cambria Math"/>
            </w:rPr>
            <m:t>⇌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O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COONa(aq)</m:t>
          </m:r>
        </m:oMath>
      </m:oMathPara>
    </w:p>
    <w:p w:rsidR="00771D57" w:rsidRPr="00E66FA0" w:rsidRDefault="00771D57">
      <w:r>
        <w:t xml:space="preserve">b) </w:t>
      </w:r>
      <w:r w:rsidR="00D11690">
        <w:t>Heksansyren er ikke spesielt løselig i vann. Det betyr at det er få heksanat-ioner i løsningen. Ved å tilsette natriumhydroksid, øker antallet heksanat-ioner i løsningen. Det vil si at løseligheten øker.</w:t>
      </w:r>
    </w:p>
    <w:p w:rsidR="001B13F1" w:rsidRPr="001B13F1" w:rsidRDefault="001B13F1">
      <w:pPr>
        <w:rPr>
          <w:b/>
        </w:rPr>
      </w:pPr>
      <w:r w:rsidRPr="001B13F1">
        <w:rPr>
          <w:b/>
        </w:rPr>
        <w:t>Oppg.6</w:t>
      </w:r>
    </w:p>
    <w:p w:rsidR="001B13F1" w:rsidRPr="001B13F1" w:rsidRDefault="001B13F1">
      <w:r w:rsidRPr="001B13F1">
        <w:rPr>
          <w:b/>
        </w:rPr>
        <w:t>Lavt</w:t>
      </w:r>
      <w:r w:rsidRPr="001B13F1">
        <w:rPr>
          <w:b/>
        </w:rPr>
        <w:br/>
      </w:r>
      <w:r w:rsidRPr="001B13F1">
        <w:t>Etylbutyleter</w:t>
      </w:r>
      <w:r w:rsidRPr="001B13F1">
        <w:br/>
        <w:t>Pent-3-on</w:t>
      </w:r>
      <w:r w:rsidRPr="001B13F1">
        <w:br/>
        <w:t>Pentan-2-ol</w:t>
      </w:r>
      <w:r w:rsidRPr="001B13F1">
        <w:br/>
      </w:r>
      <w:r w:rsidRPr="001B13F1">
        <w:rPr>
          <w:b/>
        </w:rPr>
        <w:t>Høyt</w:t>
      </w:r>
    </w:p>
    <w:p w:rsidR="001B13F1" w:rsidRDefault="001B13F1">
      <w:r>
        <w:t>Etylbutyleter kan ikke danne hydrogenbindinger, den sterkeste av de svake bindingene, og har derfor lavt kokepunkt.</w:t>
      </w:r>
      <w:r w:rsidR="00B75194">
        <w:t xml:space="preserve"> Det blir heller ingen dipolbindinger i en eter, ettersom O-atomet ligger i kjeden. Det eneste som binder etylbutyleter sammen, er midlertidige dipolbindinger. Pent-3-on, et keton, kan heller ikke danne hydrogenbindinger, men </w:t>
      </w:r>
      <w:r w:rsidR="00F24A14">
        <w:t>kan pga. elektronegativitet</w:t>
      </w:r>
      <w:r w:rsidR="00B75194">
        <w:t xml:space="preserve"> </w:t>
      </w:r>
      <w:r w:rsidR="00F24A14">
        <w:t xml:space="preserve">mellom karbonkjeden og oksygenatomet </w:t>
      </w:r>
      <w:r w:rsidR="00B75194">
        <w:t xml:space="preserve">danne dipolbindinger. Pentan-2-ol, et alkohol, </w:t>
      </w:r>
      <w:r w:rsidR="00F24A14">
        <w:t xml:space="preserve">har en –OH gruppe som </w:t>
      </w:r>
      <w:r w:rsidR="00B75194">
        <w:t>kan danne hydrogenbindinger, den sterkeste av de svake bindingene.</w:t>
      </w:r>
    </w:p>
    <w:p w:rsidR="00805261" w:rsidRPr="00116CDE" w:rsidRDefault="00805261">
      <w:pPr>
        <w:rPr>
          <w:b/>
        </w:rPr>
      </w:pPr>
      <w:r w:rsidRPr="00116CDE">
        <w:rPr>
          <w:b/>
        </w:rPr>
        <w:t>Oppg.7</w:t>
      </w:r>
    </w:p>
    <w:p w:rsidR="00805261" w:rsidRDefault="00805261">
      <w:r>
        <w:rPr>
          <w:noProof/>
        </w:rPr>
        <w:drawing>
          <wp:inline distT="0" distB="0" distL="0" distR="0">
            <wp:extent cx="4400550" cy="137160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Dobbeltbindingene i propen åpner seg og danner bindinger med andre propenmolekyler, i en lang kjede.</w:t>
      </w:r>
    </w:p>
    <w:p w:rsidR="00116CDE" w:rsidRDefault="00116CDE">
      <w:pPr>
        <w:rPr>
          <w:noProof/>
        </w:rPr>
      </w:pPr>
      <w:r>
        <w:rPr>
          <w:noProof/>
        </w:rPr>
        <w:br w:type="page"/>
      </w:r>
    </w:p>
    <w:p w:rsidR="00116CDE" w:rsidRDefault="008A60DF">
      <w:r>
        <w:rPr>
          <w:noProof/>
        </w:rPr>
        <w:lastRenderedPageBreak/>
        <w:drawing>
          <wp:inline distT="0" distB="0" distL="0" distR="0">
            <wp:extent cx="5753100" cy="139065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Butansyre og metanol bruker svovelsyre som katalysator og danner metylbutanat og vann.</w:t>
      </w:r>
    </w:p>
    <w:p w:rsidR="00933039" w:rsidRDefault="00BE2A3A">
      <w:r>
        <w:rPr>
          <w:noProof/>
        </w:rPr>
        <w:drawing>
          <wp:inline distT="0" distB="0" distL="0" distR="0">
            <wp:extent cx="5553075" cy="17335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DF" w:rsidRDefault="008A60DF">
      <w:r>
        <w:t xml:space="preserve">d) Svovelsyren fungerer som en katalysator, samt tvinger reaksjonen mot høyre. </w:t>
      </w:r>
      <w:r w:rsidR="00C559C2">
        <w:t>Selve reaksjonen er nemlig en likevekt, og svovelsyren vil trekke til seg vannet som dannes under reaksjonen. Etter LeCh</w:t>
      </w:r>
      <w:r w:rsidR="00B702A1">
        <w:t>â</w:t>
      </w:r>
      <w:r w:rsidR="00C559C2">
        <w:t>teliers prinsipp, vil likevekten gjøre endringer i systemet minst mulig. Likevekten forskyves dermed mot høyre, og vi får størst utbytte.</w:t>
      </w:r>
    </w:p>
    <w:p w:rsidR="00622CD3" w:rsidRPr="003841BF" w:rsidRDefault="00622CD3">
      <w:pPr>
        <w:rPr>
          <w:b/>
        </w:rPr>
      </w:pPr>
      <w:r w:rsidRPr="003841BF">
        <w:rPr>
          <w:b/>
        </w:rPr>
        <w:t>Oppg.8</w:t>
      </w:r>
    </w:p>
    <w:p w:rsidR="003841BF" w:rsidRDefault="003841BF">
      <w:r>
        <w:t xml:space="preserve">a) Såpe fremstilles </w:t>
      </w:r>
      <w:r w:rsidR="00CA26DE">
        <w:t xml:space="preserve">industrielt </w:t>
      </w:r>
      <w:r>
        <w:t>ved å først omdanne fett (triglyserider) til fettsyrer, som deretter nøytraliseres med en base.</w:t>
      </w:r>
    </w:p>
    <w:p w:rsidR="003841BF" w:rsidRDefault="003431EC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17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35</m:t>
              </m:r>
            </m:sub>
          </m:sSub>
          <m:r>
            <w:rPr>
              <w:rFonts w:ascii="Cambria Math" w:hAnsi="Cambria Math"/>
            </w:rPr>
            <m:t>COOH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l</m:t>
              </m:r>
            </m:e>
          </m:d>
          <m:r>
            <w:rPr>
              <w:rFonts w:ascii="Cambria Math" w:hAnsi="Cambria Math"/>
            </w:rPr>
            <m:t>+NaOH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aq</m:t>
              </m:r>
            </m:e>
          </m:d>
          <m:r>
            <w:rPr>
              <w:rFonts w:ascii="Cambria Math" w:hAnsi="Cambria Math"/>
            </w:rPr>
            <m:t>⟶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17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35</m:t>
                  </m:r>
                </m:sub>
              </m:sSub>
              <m:r>
                <w:rPr>
                  <w:rFonts w:ascii="Cambria Math" w:hAnsi="Cambria Math"/>
                </w:rPr>
                <m:t>COO</m:t>
              </m:r>
            </m:e>
            <m:sup>
              <m:r>
                <w:rPr>
                  <w:rFonts w:ascii="Cambria Math" w:hAnsi="Cambria Math"/>
                </w:rPr>
                <m:t>-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aq</m:t>
              </m:r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Na</m:t>
              </m:r>
            </m:e>
            <m:sup>
              <m:r>
                <w:rPr>
                  <w:rFonts w:ascii="Cambria Math" w:hAnsi="Cambria Math"/>
                </w:rPr>
                <m:t>+</m:t>
              </m:r>
            </m:sup>
          </m:sSup>
          <m:r>
            <w:rPr>
              <w:rFonts w:ascii="Cambria Math" w:hAnsi="Cambria Math"/>
            </w:rPr>
            <m:t>⟶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17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35</m:t>
              </m:r>
            </m:sub>
          </m:sSub>
          <m:r>
            <w:rPr>
              <w:rFonts w:ascii="Cambria Math" w:hAnsi="Cambria Math"/>
            </w:rPr>
            <m:t>COONa(s)</m:t>
          </m:r>
        </m:oMath>
      </m:oMathPara>
    </w:p>
    <w:p w:rsidR="003841BF" w:rsidRDefault="003841BF">
      <w:r>
        <w:t xml:space="preserve">Hvor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17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35</m:t>
            </m:r>
          </m:sub>
        </m:sSub>
        <m:r>
          <w:rPr>
            <w:rFonts w:ascii="Cambria Math" w:hAnsi="Cambria Math"/>
          </w:rPr>
          <m:t>COONa(s)</m:t>
        </m:r>
      </m:oMath>
      <w:r>
        <w:t xml:space="preserve"> er såpe.</w:t>
      </w:r>
      <w:r w:rsidR="00CA26DE">
        <w:t xml:space="preserve"> </w:t>
      </w:r>
    </w:p>
    <w:p w:rsidR="000744C3" w:rsidRDefault="00E0782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8255</wp:posOffset>
            </wp:positionV>
            <wp:extent cx="2971800" cy="2114550"/>
            <wp:effectExtent l="1905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44C3">
        <w:t xml:space="preserve">b) </w:t>
      </w:r>
      <w:r w:rsidR="00C07D28">
        <w:t xml:space="preserve">Den upolae hydrokarbonkjeden (den hydrofobe delen av tensidanionene) binder seg til det upolare  fettet (1). Dette gjør at fettdråpen får en hinne av </w:t>
      </w:r>
      <m:oMath>
        <m:r>
          <w:rPr>
            <w:rFonts w:ascii="Cambria Math" w:hAnsi="Cambria Math"/>
          </w:rPr>
          <m:t>-CO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O</m:t>
            </m:r>
          </m:e>
          <m:sup>
            <m:r>
              <w:rPr>
                <w:rFonts w:ascii="Cambria Math" w:hAnsi="Cambria Math"/>
              </w:rPr>
              <m:t>-</m:t>
            </m:r>
          </m:sup>
        </m:sSup>
      </m:oMath>
      <w:r w:rsidR="00C07D28">
        <w:t xml:space="preserve">, </w:t>
      </w:r>
      <w:r w:rsidR="00E404D9">
        <w:t>den hydrofile delen</w:t>
      </w:r>
      <w:r w:rsidR="00C07D28">
        <w:t>, rundt seg. Tensidanionene trenger seg også mellom fettet og fiberet, som fører til at fettdråpen løsner</w:t>
      </w:r>
      <w:r w:rsidR="005B72C9">
        <w:t xml:space="preserve"> (2)</w:t>
      </w:r>
      <w:r w:rsidR="00C07D28">
        <w:t xml:space="preserve">. </w:t>
      </w:r>
      <w:r w:rsidR="005B72C9">
        <w:t>Ved at det er en negativ</w:t>
      </w:r>
      <w:r w:rsidR="00E404D9">
        <w:t>t ladd</w:t>
      </w:r>
      <w:r w:rsidR="005B72C9">
        <w:t xml:space="preserve"> hinne rundt fettdråpen, forhindres fettet fra å feste seg igjen, eller slå seg sammen men andre fettdråper, og skylles ut med vaskevann.</w:t>
      </w:r>
    </w:p>
    <w:p w:rsidR="00100FB6" w:rsidRDefault="00100FB6"/>
    <w:p w:rsidR="008E139C" w:rsidRPr="001B13F1" w:rsidRDefault="008E139C">
      <w:r>
        <w:lastRenderedPageBreak/>
        <w:t>c)</w:t>
      </w:r>
      <w:r w:rsidR="00B74B1D">
        <w:t xml:space="preserve"> Et problem med såpe er at det danner basisk vann som kan ødelegge stoff som ull og silke. </w:t>
      </w:r>
      <w:r w:rsidR="008E5C6F">
        <w:t xml:space="preserve">Såpe egner seg ikke i surt vann, fordi fettsyreanionene reagerer med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O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  <m:r>
          <w:rPr>
            <w:rFonts w:ascii="Cambria Math" w:hAnsi="Cambria Math"/>
          </w:rPr>
          <m:t xml:space="preserve"> </m:t>
        </m:r>
      </m:oMath>
      <w:r w:rsidR="008E5C6F">
        <w:t>og danner fettsyremolekyler.</w:t>
      </w:r>
      <w:r w:rsidR="00B74B1D">
        <w:t xml:space="preserve"> </w:t>
      </w:r>
      <w:r w:rsidR="008E5C6F">
        <w:t>Dette skilles ut som olje eller klumper.</w:t>
      </w:r>
      <w:r w:rsidR="00935C2E">
        <w:t xml:space="preserve"> </w:t>
      </w:r>
      <w:r w:rsidR="006A2C4E">
        <w:t>Noe</w:t>
      </w:r>
      <w:r w:rsidR="00935C2E">
        <w:t>n erstatninger er f.eks tensidanioner</w:t>
      </w:r>
      <w:r w:rsidR="006A2C4E">
        <w:t xml:space="preserve"> med </w:t>
      </w:r>
      <m:oMath>
        <m: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SO</m:t>
            </m:r>
          </m:e>
          <m:sub>
            <m:r>
              <w:rPr>
                <w:rFonts w:ascii="Cambria Math" w:hAnsi="Cambria Math"/>
              </w:rPr>
              <m:t>4</m:t>
            </m:r>
          </m:sub>
          <m:sup>
            <m:r>
              <w:rPr>
                <w:rFonts w:ascii="Cambria Math" w:hAnsi="Cambria Math"/>
              </w:rPr>
              <m:t>-</m:t>
            </m:r>
          </m:sup>
        </m:sSubSup>
      </m:oMath>
      <w:r w:rsidR="006A2C4E">
        <w:t xml:space="preserve"> som den hydrofile gruppen. Disse har nøytal pH og egner seg godt til tøyvask og oppvask.</w:t>
      </w:r>
      <w:r w:rsidR="00935C2E">
        <w:t xml:space="preserve"> Tensidkationer med 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(C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)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935C2E">
        <w:t xml:space="preserve"> som den hydrofile gruppen har nøytral pH, og virker godt i hardt vann og i surt miljø.</w:t>
      </w:r>
    </w:p>
    <w:sectPr w:rsidR="008E139C" w:rsidRPr="001B13F1" w:rsidSect="0007787C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116" w:rsidRDefault="00860116" w:rsidP="00ED5F5B">
      <w:pPr>
        <w:spacing w:after="0" w:line="240" w:lineRule="auto"/>
      </w:pPr>
      <w:r>
        <w:separator/>
      </w:r>
    </w:p>
  </w:endnote>
  <w:endnote w:type="continuationSeparator" w:id="0">
    <w:p w:rsidR="00860116" w:rsidRDefault="00860116" w:rsidP="00ED5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116" w:rsidRDefault="00860116" w:rsidP="00ED5F5B">
      <w:pPr>
        <w:spacing w:after="0" w:line="240" w:lineRule="auto"/>
      </w:pPr>
      <w:r>
        <w:separator/>
      </w:r>
    </w:p>
  </w:footnote>
  <w:footnote w:type="continuationSeparator" w:id="0">
    <w:p w:rsidR="00860116" w:rsidRDefault="00860116" w:rsidP="00ED5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F5B" w:rsidRDefault="00ED5F5B">
    <w:pPr>
      <w:pStyle w:val="Header"/>
    </w:pPr>
    <w:r>
      <w:t>Tom Xiang-Kun Kong</w:t>
    </w:r>
  </w:p>
  <w:p w:rsidR="00ED5F5B" w:rsidRDefault="00ED5F5B">
    <w:pPr>
      <w:pStyle w:val="Header"/>
    </w:pPr>
    <w:r>
      <w:t>24. mai 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4745"/>
    <w:rsid w:val="000744C3"/>
    <w:rsid w:val="0007787C"/>
    <w:rsid w:val="000A389E"/>
    <w:rsid w:val="000B3E4C"/>
    <w:rsid w:val="00100FB6"/>
    <w:rsid w:val="00116CDE"/>
    <w:rsid w:val="001B13F1"/>
    <w:rsid w:val="001B4873"/>
    <w:rsid w:val="00296CD5"/>
    <w:rsid w:val="002B0B2D"/>
    <w:rsid w:val="002D7474"/>
    <w:rsid w:val="002F3A45"/>
    <w:rsid w:val="002F58F2"/>
    <w:rsid w:val="003431EC"/>
    <w:rsid w:val="00372803"/>
    <w:rsid w:val="003841BF"/>
    <w:rsid w:val="003E469A"/>
    <w:rsid w:val="004822D1"/>
    <w:rsid w:val="005B72C9"/>
    <w:rsid w:val="00622CD3"/>
    <w:rsid w:val="006A2C4E"/>
    <w:rsid w:val="00771D57"/>
    <w:rsid w:val="00805261"/>
    <w:rsid w:val="00860116"/>
    <w:rsid w:val="008A60DF"/>
    <w:rsid w:val="008B5C59"/>
    <w:rsid w:val="008E139C"/>
    <w:rsid w:val="008E5C6F"/>
    <w:rsid w:val="00933039"/>
    <w:rsid w:val="00935C2E"/>
    <w:rsid w:val="009E4F3E"/>
    <w:rsid w:val="00A50004"/>
    <w:rsid w:val="00A67064"/>
    <w:rsid w:val="00AB587A"/>
    <w:rsid w:val="00B34745"/>
    <w:rsid w:val="00B702A1"/>
    <w:rsid w:val="00B74B1D"/>
    <w:rsid w:val="00B75194"/>
    <w:rsid w:val="00BE2A3A"/>
    <w:rsid w:val="00C07D28"/>
    <w:rsid w:val="00C559C2"/>
    <w:rsid w:val="00CA26DE"/>
    <w:rsid w:val="00D11690"/>
    <w:rsid w:val="00E07829"/>
    <w:rsid w:val="00E404D9"/>
    <w:rsid w:val="00E66FA0"/>
    <w:rsid w:val="00ED5F5B"/>
    <w:rsid w:val="00F24A14"/>
    <w:rsid w:val="00F97198"/>
    <w:rsid w:val="00FA34D4"/>
    <w:rsid w:val="00FC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b-N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0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00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F3A45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ED5F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5F5B"/>
  </w:style>
  <w:style w:type="paragraph" w:styleId="Footer">
    <w:name w:val="footer"/>
    <w:basedOn w:val="Normal"/>
    <w:link w:val="FooterChar"/>
    <w:uiPriority w:val="99"/>
    <w:semiHidden/>
    <w:unhideWhenUsed/>
    <w:rsid w:val="00ED5F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5F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4</Pages>
  <Words>557</Words>
  <Characters>2956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CXu</dc:creator>
  <cp:lastModifiedBy>CXu</cp:lastModifiedBy>
  <cp:revision>31</cp:revision>
  <dcterms:created xsi:type="dcterms:W3CDTF">2012-06-02T17:27:00Z</dcterms:created>
  <dcterms:modified xsi:type="dcterms:W3CDTF">2012-06-10T21:28:00Z</dcterms:modified>
</cp:coreProperties>
</file>